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2E2" w:rsidRDefault="009752E2" w:rsidP="009752E2">
      <w:pPr>
        <w:pStyle w:val="berschrift1"/>
        <w:keepNext/>
        <w:keepLines/>
        <w:numPr>
          <w:ilvl w:val="0"/>
          <w:numId w:val="0"/>
        </w:numPr>
        <w:spacing w:before="360" w:after="240"/>
        <w:contextualSpacing w:val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.05pt;margin-top:57.85pt;width:462.45pt;height:78.3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" strokecolor="#4bacc6" strokeweight="1pt">
            <v:stroke dashstyle="dash"/>
            <v:shadow color="#868686"/>
            <v:textbox>
              <w:txbxContent>
                <w:p w:rsidR="009752E2" w:rsidRPr="00836EBF" w:rsidRDefault="009752E2" w:rsidP="009752E2">
                  <w:pPr>
                    <w:rPr>
                      <w:color w:val="auto"/>
                    </w:rPr>
                  </w:pPr>
                  <w:r w:rsidRPr="00836EBF">
                    <w:rPr>
                      <w:color w:val="auto"/>
                    </w:rPr>
                    <w:t xml:space="preserve">Eine wesentliche Eigenschaft von Ketonen ist die Löslichkeit in polaren und </w:t>
                  </w:r>
                  <w:proofErr w:type="spellStart"/>
                  <w:r w:rsidRPr="00836EBF">
                    <w:rPr>
                      <w:color w:val="auto"/>
                    </w:rPr>
                    <w:t>unpolaren</w:t>
                  </w:r>
                  <w:proofErr w:type="spellEnd"/>
                  <w:r w:rsidRPr="00836EBF">
                    <w:rPr>
                      <w:color w:val="auto"/>
                    </w:rPr>
                    <w:t xml:space="preserve"> L</w:t>
                  </w:r>
                  <w:r w:rsidRPr="00836EBF">
                    <w:rPr>
                      <w:color w:val="auto"/>
                    </w:rPr>
                    <w:t>ö</w:t>
                  </w:r>
                  <w:r w:rsidRPr="00836EBF">
                    <w:rPr>
                      <w:color w:val="auto"/>
                    </w:rPr>
                    <w:t>sungsmittel. Daher werden sie häufig als Lösungsmittel in der Lack- und Kunststoffindustrie eingesetzt. Zur Deutung des Versuchs sollten die SuS die funktionelle Gruppe der Ketone ke</w:t>
                  </w:r>
                  <w:r w:rsidRPr="00836EBF">
                    <w:rPr>
                      <w:color w:val="auto"/>
                    </w:rPr>
                    <w:t>n</w:t>
                  </w:r>
                  <w:r w:rsidRPr="00836EBF">
                    <w:rPr>
                      <w:color w:val="auto"/>
                    </w:rPr>
                    <w:t xml:space="preserve">nen und anhand der Elektronegativität der Elemente Polaritäten erklären können. </w:t>
                  </w:r>
                </w:p>
              </w:txbxContent>
            </v:textbox>
            <w10:wrap type="square"/>
          </v:shape>
        </w:pict>
      </w:r>
      <w:bookmarkStart w:id="0" w:name="_Toc363670268"/>
      <w:r>
        <w:t>V 4 – Löslichkeit von Ketonen</w:t>
      </w:r>
      <w:bookmarkEnd w:id="0"/>
    </w:p>
    <w:p w:rsidR="009752E2" w:rsidRDefault="009752E2" w:rsidP="009752E2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9752E2" w:rsidRPr="00CD03BD" w:rsidTr="000200FE">
        <w:tc>
          <w:tcPr>
            <w:tcW w:w="9322" w:type="dxa"/>
            <w:gridSpan w:val="9"/>
            <w:shd w:val="clear" w:color="auto" w:fill="4F81BD"/>
            <w:vAlign w:val="center"/>
          </w:tcPr>
          <w:p w:rsidR="009752E2" w:rsidRPr="00CD03BD" w:rsidRDefault="009752E2" w:rsidP="000200FE">
            <w:pPr>
              <w:spacing w:after="0"/>
              <w:jc w:val="center"/>
              <w:rPr>
                <w:b/>
                <w:bCs/>
              </w:rPr>
            </w:pPr>
            <w:r w:rsidRPr="00CD03BD">
              <w:rPr>
                <w:b/>
                <w:bCs/>
              </w:rPr>
              <w:t>Gefahrenstoffe</w:t>
            </w:r>
          </w:p>
        </w:tc>
      </w:tr>
      <w:tr w:rsidR="009752E2" w:rsidRPr="00CD03BD" w:rsidTr="000200FE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752E2" w:rsidRPr="00061150" w:rsidRDefault="009752E2" w:rsidP="000200FE">
            <w:pPr>
              <w:spacing w:after="0" w:line="276" w:lineRule="auto"/>
              <w:jc w:val="center"/>
              <w:rPr>
                <w:bCs/>
                <w:sz w:val="20"/>
                <w:szCs w:val="20"/>
              </w:rPr>
            </w:pPr>
            <w:r w:rsidRPr="00061150">
              <w:rPr>
                <w:bCs/>
                <w:sz w:val="20"/>
                <w:szCs w:val="20"/>
              </w:rPr>
              <w:t>Aceton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752E2" w:rsidRPr="00CD03BD" w:rsidRDefault="009752E2" w:rsidP="000200FE">
            <w:pPr>
              <w:spacing w:after="0"/>
              <w:jc w:val="center"/>
            </w:pPr>
            <w:r w:rsidRPr="00CD03BD">
              <w:rPr>
                <w:sz w:val="20"/>
              </w:rPr>
              <w:t xml:space="preserve">H: </w:t>
            </w:r>
            <w:r>
              <w:rPr>
                <w:sz w:val="20"/>
              </w:rPr>
              <w:t>225-319-336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752E2" w:rsidRPr="00CD03BD" w:rsidRDefault="009752E2" w:rsidP="000200FE">
            <w:pPr>
              <w:spacing w:after="0"/>
              <w:jc w:val="center"/>
            </w:pPr>
            <w:r w:rsidRPr="00CD03BD">
              <w:rPr>
                <w:sz w:val="20"/>
              </w:rPr>
              <w:t xml:space="preserve">P: </w:t>
            </w:r>
            <w:r>
              <w:rPr>
                <w:sz w:val="20"/>
              </w:rPr>
              <w:t>210-233-305+351+338</w:t>
            </w:r>
          </w:p>
        </w:tc>
      </w:tr>
      <w:tr w:rsidR="009752E2" w:rsidRPr="00CD03BD" w:rsidTr="000200FE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9752E2" w:rsidRPr="00CD03BD" w:rsidRDefault="009752E2" w:rsidP="000200FE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Destilliertes Wasser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9752E2" w:rsidRPr="00CD03BD" w:rsidRDefault="009752E2" w:rsidP="000200FE">
            <w:pPr>
              <w:pStyle w:val="Beschriftung"/>
              <w:spacing w:after="0"/>
              <w:jc w:val="center"/>
              <w:rPr>
                <w:sz w:val="20"/>
              </w:rPr>
            </w:pPr>
            <w:r w:rsidRPr="00CD03BD">
              <w:rPr>
                <w:sz w:val="20"/>
              </w:rPr>
              <w:t>H:</w:t>
            </w:r>
            <w:r>
              <w:rPr>
                <w:sz w:val="20"/>
              </w:rPr>
              <w:t xml:space="preserve"> -</w:t>
            </w:r>
            <w:r w:rsidRPr="00CD03BD">
              <w:rPr>
                <w:sz w:val="20"/>
              </w:rPr>
              <w:t xml:space="preserve"> 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9752E2" w:rsidRPr="00CD03BD" w:rsidRDefault="009752E2" w:rsidP="000200FE">
            <w:pPr>
              <w:pStyle w:val="Beschriftung"/>
              <w:spacing w:after="0"/>
              <w:jc w:val="center"/>
              <w:rPr>
                <w:sz w:val="20"/>
              </w:rPr>
            </w:pPr>
            <w:r w:rsidRPr="00CD03BD">
              <w:rPr>
                <w:sz w:val="20"/>
              </w:rPr>
              <w:t>P:</w:t>
            </w:r>
            <w:r>
              <w:rPr>
                <w:sz w:val="20"/>
              </w:rPr>
              <w:t xml:space="preserve"> -</w:t>
            </w:r>
            <w:r w:rsidRPr="00CD03BD">
              <w:rPr>
                <w:sz w:val="20"/>
              </w:rPr>
              <w:t xml:space="preserve"> </w:t>
            </w:r>
          </w:p>
        </w:tc>
      </w:tr>
      <w:tr w:rsidR="009752E2" w:rsidRPr="00CD03BD" w:rsidTr="000200FE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9752E2" w:rsidRDefault="009752E2" w:rsidP="000200FE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Öl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9752E2" w:rsidRPr="00CD03BD" w:rsidRDefault="009752E2" w:rsidP="000200FE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H: -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9752E2" w:rsidRPr="00CD03BD" w:rsidRDefault="009752E2" w:rsidP="000200FE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P: -</w:t>
            </w:r>
          </w:p>
        </w:tc>
      </w:tr>
      <w:tr w:rsidR="009752E2" w:rsidRPr="00CD03BD" w:rsidTr="000200FE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752E2" w:rsidRPr="00CD03BD" w:rsidRDefault="009752E2" w:rsidP="000200FE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35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752E2" w:rsidRPr="00CD03BD" w:rsidRDefault="009752E2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37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752E2" w:rsidRPr="00CD03BD" w:rsidRDefault="009752E2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32" cy="500332"/>
                  <wp:effectExtent l="19050" t="0" r="0" b="0"/>
                  <wp:docPr id="147" name="Bild 12" descr="C:\Users\Anne\AppData\Local\Temp\Rar$DI04.761\Brenn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nne\AppData\Local\Temp\Rar$DI04.761\Brenn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760" cy="50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752E2" w:rsidRPr="00CD03BD" w:rsidRDefault="009752E2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40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752E2" w:rsidRPr="00CD03BD" w:rsidRDefault="009752E2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41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752E2" w:rsidRPr="00CD03BD" w:rsidRDefault="009752E2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42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752E2" w:rsidRPr="00CD03BD" w:rsidRDefault="009752E2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43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752E2" w:rsidRPr="00CD03BD" w:rsidRDefault="009752E2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9270" cy="509270"/>
                  <wp:effectExtent l="19050" t="0" r="5080" b="0"/>
                  <wp:docPr id="14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752E2" w:rsidRPr="00CD03BD" w:rsidRDefault="009752E2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45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2E2" w:rsidRDefault="009752E2" w:rsidP="009752E2">
      <w:pPr>
        <w:tabs>
          <w:tab w:val="left" w:pos="1701"/>
          <w:tab w:val="left" w:pos="1985"/>
        </w:tabs>
        <w:ind w:left="1980" w:hanging="1980"/>
      </w:pPr>
    </w:p>
    <w:p w:rsidR="009752E2" w:rsidRDefault="009752E2" w:rsidP="009752E2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2 Reagenzgläser</w:t>
      </w:r>
    </w:p>
    <w:p w:rsidR="009752E2" w:rsidRPr="00ED07C2" w:rsidRDefault="009752E2" w:rsidP="009752E2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Aceton, Öl, destilliertes Wasser</w:t>
      </w:r>
    </w:p>
    <w:p w:rsidR="009752E2" w:rsidRDefault="009752E2" w:rsidP="009752E2">
      <w:pPr>
        <w:ind w:left="1980" w:hanging="1980"/>
      </w:pPr>
      <w:r>
        <w:t xml:space="preserve">Durchführung: </w:t>
      </w:r>
      <w:r>
        <w:tab/>
        <w:t xml:space="preserve">Ein Reagenzglas wird mit 5 </w:t>
      </w:r>
      <w:proofErr w:type="spellStart"/>
      <w:r>
        <w:t>mL</w:t>
      </w:r>
      <w:proofErr w:type="spellEnd"/>
      <w:r>
        <w:t xml:space="preserve"> Wasser gefüllt, ein weiteres mit 5 </w:t>
      </w:r>
      <w:proofErr w:type="spellStart"/>
      <w:r>
        <w:t>mL</w:t>
      </w:r>
      <w:proofErr w:type="spellEnd"/>
      <w:r>
        <w:t xml:space="preserve"> Öl. Nun werden je 3 </w:t>
      </w:r>
      <w:proofErr w:type="spellStart"/>
      <w:r>
        <w:t>mL</w:t>
      </w:r>
      <w:proofErr w:type="spellEnd"/>
      <w:r>
        <w:t xml:space="preserve"> Aceton zugegeben und die Reagenzgläser kräftig g</w:t>
      </w:r>
      <w:r>
        <w:t>e</w:t>
      </w:r>
      <w:r>
        <w:t>schüttelt.</w:t>
      </w:r>
      <w:r>
        <w:tab/>
        <w:t xml:space="preserve"> </w:t>
      </w:r>
    </w:p>
    <w:p w:rsidR="009752E2" w:rsidRDefault="009752E2" w:rsidP="009752E2">
      <w:pPr>
        <w:tabs>
          <w:tab w:val="left" w:pos="1985"/>
        </w:tabs>
      </w:pPr>
      <w:r>
        <w:t>Beobachtung:</w:t>
      </w:r>
      <w:r>
        <w:tab/>
        <w:t>Es bilden sich homogene Phasen bei Zugabe von Wasser und Öl.</w:t>
      </w:r>
    </w:p>
    <w:p w:rsidR="009752E2" w:rsidRDefault="009752E2" w:rsidP="009752E2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1730508" cy="2311879"/>
            <wp:effectExtent l="19050" t="0" r="3042" b="0"/>
            <wp:docPr id="194" name="Bild 20" descr="F:\DCIM\100CANON\IMG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CANON\IMG_144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388" t="19326" r="15296" b="14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05" cy="231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2E2" w:rsidRDefault="009752E2" w:rsidP="009752E2">
      <w:pPr>
        <w:pStyle w:val="Beschriftung"/>
        <w:jc w:val="left"/>
      </w:pPr>
      <w:r>
        <w:t xml:space="preserve">Abb. 4 - </w:t>
      </w:r>
      <w:r>
        <w:rPr>
          <w:noProof/>
        </w:rPr>
        <w:t xml:space="preserve"> Aceton gelöst in Wasser (links) und Öl (rechts).</w:t>
      </w:r>
    </w:p>
    <w:p w:rsidR="009752E2" w:rsidRDefault="009752E2" w:rsidP="009752E2">
      <w:pPr>
        <w:tabs>
          <w:tab w:val="left" w:pos="1701"/>
          <w:tab w:val="left" w:pos="1985"/>
        </w:tabs>
        <w:ind w:left="1980" w:right="1134" w:hanging="1980"/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5090160</wp:posOffset>
            </wp:positionH>
            <wp:positionV relativeFrom="paragraph">
              <wp:posOffset>-63500</wp:posOffset>
            </wp:positionV>
            <wp:extent cx="775970" cy="749935"/>
            <wp:effectExtent l="0" t="0" r="0" b="0"/>
            <wp:wrapSquare wrapText="bothSides"/>
            <wp:docPr id="146" name="Bild 18" descr="File:Ketone Structural Formulae V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ile:Ketone Structural Formulae V.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pict>
          <v:shape id="_x0000_s1041" type="#_x0000_t202" style="position:absolute;left:0;text-align:left;margin-left:399.15pt;margin-top:58.55pt;width:94.45pt;height:31.95pt;z-index:251662336;mso-position-horizontal-relative:text;mso-position-vertical-relative:text" stroked="f">
            <v:textbox>
              <w:txbxContent>
                <w:p w:rsidR="009752E2" w:rsidRPr="00AC534A" w:rsidRDefault="009752E2" w:rsidP="009752E2">
                  <w:pPr>
                    <w:spacing w:line="240" w:lineRule="auto"/>
                    <w:jc w:val="left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Abb. 5</w:t>
                  </w:r>
                  <w:r w:rsidRPr="00AC534A">
                    <w:rPr>
                      <w:rFonts w:asciiTheme="majorHAnsi" w:hAnsiTheme="majorHAnsi"/>
                      <w:sz w:val="18"/>
                      <w:szCs w:val="18"/>
                    </w:rPr>
                    <w:t xml:space="preserve"> - </w:t>
                  </w:r>
                  <w:r w:rsidRPr="00AC534A">
                    <w:rPr>
                      <w:rFonts w:asciiTheme="majorHAnsi" w:hAnsiTheme="majorHAnsi"/>
                      <w:noProof/>
                      <w:sz w:val="18"/>
                      <w:szCs w:val="18"/>
                    </w:rPr>
                    <w:t xml:space="preserve"> Carbonylgruppe </w:t>
                  </w:r>
                </w:p>
              </w:txbxContent>
            </v:textbox>
          </v:shape>
        </w:pict>
      </w:r>
      <w:r>
        <w:t>Deutung:</w:t>
      </w:r>
      <w:r>
        <w:tab/>
      </w:r>
      <w:r>
        <w:tab/>
        <w:t>Ketone haben als gemeinsames Merkmal eine nicht endstä</w:t>
      </w:r>
      <w:r>
        <w:t>n</w:t>
      </w:r>
      <w:r>
        <w:t xml:space="preserve">dige </w:t>
      </w:r>
      <w:proofErr w:type="spellStart"/>
      <w:r>
        <w:t>Carbonylgruppe</w:t>
      </w:r>
      <w:proofErr w:type="spellEnd"/>
      <w:r>
        <w:t>. Diese ist aufgrund der stark unte</w:t>
      </w:r>
      <w:r>
        <w:t>r</w:t>
      </w:r>
      <w:r>
        <w:t>schiedlichen Elektronegativität von Sauerstoff und Kohle</w:t>
      </w:r>
      <w:r>
        <w:t>n</w:t>
      </w:r>
      <w:r>
        <w:t xml:space="preserve">stoff polar und bewirkt, dass Aceton sich im Wasser löst. Durch den </w:t>
      </w:r>
      <w:proofErr w:type="spellStart"/>
      <w:r>
        <w:t>unpolaren</w:t>
      </w:r>
      <w:proofErr w:type="spellEnd"/>
      <w:r>
        <w:t xml:space="preserve"> Alkylrest löst sich Aceton auch in Öl und and</w:t>
      </w:r>
      <w:r>
        <w:t>e</w:t>
      </w:r>
      <w:r>
        <w:t xml:space="preserve">ren </w:t>
      </w:r>
      <w:proofErr w:type="spellStart"/>
      <w:r>
        <w:t>lipophilen</w:t>
      </w:r>
      <w:proofErr w:type="spellEnd"/>
      <w:r>
        <w:t xml:space="preserve"> Substanzen.    </w:t>
      </w:r>
    </w:p>
    <w:p w:rsidR="009752E2" w:rsidRPr="00CD03BD" w:rsidRDefault="009752E2" w:rsidP="009752E2">
      <w:pPr>
        <w:tabs>
          <w:tab w:val="left" w:pos="1701"/>
          <w:tab w:val="left" w:pos="1985"/>
        </w:tabs>
        <w:ind w:left="1980" w:hanging="1980"/>
        <w:rPr>
          <w:rFonts w:eastAsia="MS Mincho"/>
        </w:rPr>
      </w:pPr>
      <w:r>
        <w:t xml:space="preserve">Entsorgung: </w:t>
      </w:r>
      <w:r>
        <w:tab/>
      </w:r>
      <w:r>
        <w:tab/>
      </w:r>
      <w:r>
        <w:tab/>
        <w:t>Die Reste können über den Abfluss entsorgt werden.</w:t>
      </w:r>
      <w:r>
        <w:tab/>
      </w:r>
    </w:p>
    <w:p w:rsidR="009752E2" w:rsidRPr="00CD03BD" w:rsidRDefault="009752E2" w:rsidP="009752E2">
      <w:pPr>
        <w:spacing w:line="276" w:lineRule="auto"/>
        <w:jc w:val="left"/>
        <w:rPr>
          <w:b/>
        </w:rPr>
      </w:pPr>
      <w:r>
        <w:t>Literatur:</w:t>
      </w:r>
      <w:r>
        <w:tab/>
      </w:r>
      <w:r>
        <w:tab/>
        <w:t>-</w:t>
      </w:r>
    </w:p>
    <w:p w:rsidR="009752E2" w:rsidRDefault="009752E2" w:rsidP="009752E2">
      <w:pPr>
        <w:tabs>
          <w:tab w:val="left" w:pos="1701"/>
          <w:tab w:val="left" w:pos="1985"/>
        </w:tabs>
        <w:ind w:left="1980" w:hanging="1980"/>
      </w:pPr>
      <w:r>
        <w:pict>
          <v:shape id="_x0000_s1039" type="#_x0000_t202" style="width:462.45pt;height:80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" strokecolor="#c0504d" strokeweight="1pt">
            <v:stroke dashstyle="dash"/>
            <v:shadow color="#868686"/>
            <v:textbox>
              <w:txbxContent>
                <w:p w:rsidR="009752E2" w:rsidRPr="005E71DC" w:rsidRDefault="009752E2" w:rsidP="009752E2">
                  <w:pPr>
                    <w:rPr>
                      <w:color w:val="auto"/>
                    </w:rPr>
                  </w:pPr>
                  <w:r w:rsidRPr="005E71DC">
                    <w:rPr>
                      <w:b/>
                      <w:color w:val="auto"/>
                    </w:rPr>
                    <w:t xml:space="preserve">Unterrichtsanschlüsse </w:t>
                  </w:r>
                  <w:r w:rsidRPr="005E71DC">
                    <w:rPr>
                      <w:color w:val="auto"/>
                    </w:rPr>
                    <w:t>Im Unterricht kann der Versuch eingesetzt werden, um den SuS die Struktur-Eigenschafts-Beziehung zwischen dem molekularen Bau der Ketone und ihrer Lö</w:t>
                  </w:r>
                  <w:r w:rsidRPr="005E71DC">
                    <w:rPr>
                      <w:color w:val="auto"/>
                    </w:rPr>
                    <w:t>s</w:t>
                  </w:r>
                  <w:r w:rsidRPr="005E71DC">
                    <w:rPr>
                      <w:color w:val="auto"/>
                    </w:rPr>
                    <w:t>lichkeit zu vermitteln.</w:t>
                  </w:r>
                  <w:r>
                    <w:rPr>
                      <w:color w:val="auto"/>
                    </w:rPr>
                    <w:t xml:space="preserve"> Als Fortführung kann V 5 genutzt werden, um die Unterschiede der P</w:t>
                  </w:r>
                  <w:r>
                    <w:rPr>
                      <w:color w:val="auto"/>
                    </w:rPr>
                    <w:t>o</w:t>
                  </w:r>
                  <w:r>
                    <w:rPr>
                      <w:color w:val="auto"/>
                    </w:rPr>
                    <w:t xml:space="preserve">larität von Wasser und Ketonen zu zeigen. </w:t>
                  </w:r>
                  <w:r w:rsidRPr="005E71DC">
                    <w:rPr>
                      <w:color w:val="auto"/>
                    </w:rPr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</w:p>
    <w:p w:rsidR="009752E2" w:rsidRPr="00CD03BD" w:rsidRDefault="009752E2" w:rsidP="009752E2">
      <w:pPr>
        <w:tabs>
          <w:tab w:val="left" w:pos="1701"/>
          <w:tab w:val="left" w:pos="1985"/>
        </w:tabs>
        <w:ind w:left="1980" w:hanging="1980"/>
        <w:rPr>
          <w:rFonts w:eastAsia="MS Mincho"/>
        </w:rPr>
      </w:pPr>
    </w:p>
    <w:p w:rsidR="00BE6DD9" w:rsidRPr="001B1A06" w:rsidRDefault="00BE6DD9" w:rsidP="009752E2"/>
    <w:sectPr w:rsidR="00BE6DD9" w:rsidRPr="001B1A06" w:rsidSect="00105256">
      <w:headerReference w:type="default" r:id="rId19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939" w:rsidRDefault="00122939" w:rsidP="009524CC">
      <w:pPr>
        <w:spacing w:after="0"/>
      </w:pPr>
      <w:r>
        <w:separator/>
      </w:r>
    </w:p>
  </w:endnote>
  <w:endnote w:type="continuationSeparator" w:id="0">
    <w:p w:rsidR="00122939" w:rsidRDefault="00122939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939" w:rsidRDefault="00122939" w:rsidP="009524CC">
      <w:pPr>
        <w:spacing w:after="0"/>
      </w:pPr>
      <w:r>
        <w:separator/>
      </w:r>
    </w:p>
  </w:footnote>
  <w:footnote w:type="continuationSeparator" w:id="0">
    <w:p w:rsidR="00122939" w:rsidRDefault="00122939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91427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9752E2" w:rsidRPr="009752E2">
              <w:rPr>
                <w:b/>
                <w:bCs/>
                <w:noProof/>
                <w:sz w:val="20"/>
                <w:szCs w:val="20"/>
              </w:rPr>
              <w:t>V</w:t>
            </w:r>
            <w:r w:rsidR="009752E2" w:rsidRPr="009752E2">
              <w:rPr>
                <w:noProof/>
                <w:sz w:val="20"/>
                <w:szCs w:val="20"/>
              </w:rPr>
              <w:t xml:space="preserve"> 4 – Löslichkeit von Ketonen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91427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9752E2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939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3A6B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1C55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1427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2D0D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52E2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6D7F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898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6F7D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628A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customStyle="1" w:styleId="HelleListe-Akzent11">
    <w:name w:val="Helle Liste - Akzent 1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9AED3-C0C3-4082-86AF-448A5D123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Anne</cp:lastModifiedBy>
  <cp:revision>2</cp:revision>
  <cp:lastPrinted>2012-06-21T19:47:00Z</cp:lastPrinted>
  <dcterms:created xsi:type="dcterms:W3CDTF">2013-08-13T19:05:00Z</dcterms:created>
  <dcterms:modified xsi:type="dcterms:W3CDTF">2013-08-13T19:05:00Z</dcterms:modified>
</cp:coreProperties>
</file>