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BA7" w:rsidRPr="00FF6BA7" w:rsidRDefault="00FF6BA7" w:rsidP="00FF6BA7">
      <w:pPr>
        <w:rPr>
          <w:b/>
          <w:sz w:val="32"/>
          <w:szCs w:val="32"/>
        </w:rPr>
      </w:pPr>
      <w:r w:rsidRPr="00FF6BA7">
        <w:rPr>
          <w:b/>
          <w:noProof/>
          <w:sz w:val="32"/>
          <w:szCs w:val="32"/>
        </w:rPr>
        <w:pict>
          <v:shapetype id="_x0000_t202" coordsize="21600,21600" o:spt="202" path="m,l,21600r21600,l21600,xe">
            <v:stroke joinstyle="miter"/>
            <v:path gradientshapeok="t" o:connecttype="rect"/>
          </v:shapetype>
          <v:shape id="_x0000_s1052" type="#_x0000_t202" style="position:absolute;left:0;text-align:left;margin-left:-2.75pt;margin-top:41.65pt;width:466.3pt;height:59.9pt;z-index:251660288;mso-width-relative:margin;mso-height-relative:margin" strokecolor="#1f497d [3215]">
            <v:stroke dashstyle="dash"/>
            <v:textbox>
              <w:txbxContent>
                <w:p w:rsidR="00FF6BA7" w:rsidRDefault="00FF6BA7" w:rsidP="00FF6BA7">
                  <w:r>
                    <w:t>Mit diesem Experiment lernen die SuS, wie Alkene aus Alkoholen durch eine Dehydrierung synthetisiert werden können. Die SuS sollten Alkohole kennen und ein Verständnis von organs</w:t>
                  </w:r>
                  <w:r>
                    <w:t>i</w:t>
                  </w:r>
                  <w:r>
                    <w:t>chen Reaktionsmechanismen entwickelt haben.</w:t>
                  </w:r>
                </w:p>
              </w:txbxContent>
            </v:textbox>
            <w10:wrap type="square"/>
          </v:shape>
        </w:pict>
      </w:r>
      <w:bookmarkStart w:id="0" w:name="_Toc364077268"/>
      <w:r w:rsidRPr="00FF6BA7">
        <w:rPr>
          <w:b/>
          <w:sz w:val="32"/>
          <w:szCs w:val="32"/>
        </w:rPr>
        <w:t>V2 – Herstellung von Ethen</w:t>
      </w:r>
      <w:bookmarkEnd w:id="0"/>
    </w:p>
    <w:p w:rsidR="00FF6BA7" w:rsidRPr="009F040F" w:rsidRDefault="00FF6BA7" w:rsidP="00FF6BA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F6BA7" w:rsidRPr="009C5E28" w:rsidTr="00E201E7">
        <w:tc>
          <w:tcPr>
            <w:tcW w:w="9322" w:type="dxa"/>
            <w:gridSpan w:val="9"/>
            <w:shd w:val="clear" w:color="auto" w:fill="4F81BD"/>
            <w:vAlign w:val="center"/>
          </w:tcPr>
          <w:p w:rsidR="00FF6BA7" w:rsidRPr="009C5E28" w:rsidRDefault="00FF6BA7" w:rsidP="00E201E7">
            <w:pPr>
              <w:spacing w:after="0"/>
              <w:jc w:val="center"/>
              <w:rPr>
                <w:b/>
                <w:bCs/>
              </w:rPr>
            </w:pPr>
            <w:r w:rsidRPr="009C5E28">
              <w:rPr>
                <w:b/>
                <w:bCs/>
              </w:rPr>
              <w:t>Gefahrenstoffe</w:t>
            </w:r>
          </w:p>
        </w:tc>
      </w:tr>
      <w:tr w:rsidR="00FF6BA7" w:rsidRPr="009C5E28" w:rsidTr="00E201E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F6BA7" w:rsidRPr="009C5E28" w:rsidRDefault="00FF6BA7" w:rsidP="00E201E7">
            <w:pPr>
              <w:spacing w:after="0" w:line="276" w:lineRule="auto"/>
              <w:jc w:val="center"/>
              <w:rPr>
                <w:b/>
                <w:bCs/>
              </w:rPr>
            </w:pPr>
            <w:r>
              <w:rPr>
                <w:sz w:val="20"/>
              </w:rPr>
              <w:t>Ethanol</w:t>
            </w:r>
          </w:p>
        </w:tc>
        <w:tc>
          <w:tcPr>
            <w:tcW w:w="3177" w:type="dxa"/>
            <w:gridSpan w:val="3"/>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sidRPr="009F040F">
              <w:rPr>
                <w:sz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F6BA7" w:rsidRPr="009C5E28" w:rsidRDefault="00FF6BA7" w:rsidP="00E201E7">
            <w:pPr>
              <w:spacing w:after="0"/>
              <w:jc w:val="center"/>
            </w:pPr>
            <w:r w:rsidRPr="009F040F">
              <w:rPr>
                <w:sz w:val="20"/>
              </w:rPr>
              <w:t>P: 210</w:t>
            </w:r>
          </w:p>
        </w:tc>
      </w:tr>
      <w:tr w:rsidR="00FF6BA7" w:rsidRPr="009C5E28" w:rsidTr="00E201E7">
        <w:trPr>
          <w:trHeight w:val="434"/>
        </w:trPr>
        <w:tc>
          <w:tcPr>
            <w:tcW w:w="3027" w:type="dxa"/>
            <w:gridSpan w:val="3"/>
            <w:shd w:val="clear" w:color="auto" w:fill="auto"/>
            <w:vAlign w:val="center"/>
          </w:tcPr>
          <w:p w:rsidR="00FF6BA7" w:rsidRPr="009C5E28" w:rsidRDefault="00FF6BA7" w:rsidP="00E201E7">
            <w:pPr>
              <w:spacing w:after="0" w:line="276" w:lineRule="auto"/>
              <w:jc w:val="center"/>
              <w:rPr>
                <w:bCs/>
                <w:sz w:val="20"/>
              </w:rPr>
            </w:pPr>
            <w:r>
              <w:rPr>
                <w:color w:val="auto"/>
                <w:sz w:val="20"/>
                <w:szCs w:val="20"/>
              </w:rPr>
              <w:t>Konz. Schwefelsäure</w:t>
            </w:r>
          </w:p>
        </w:tc>
        <w:tc>
          <w:tcPr>
            <w:tcW w:w="3177" w:type="dxa"/>
            <w:gridSpan w:val="3"/>
            <w:shd w:val="clear" w:color="auto" w:fill="auto"/>
            <w:vAlign w:val="center"/>
          </w:tcPr>
          <w:p w:rsidR="00FF6BA7" w:rsidRPr="009C5E28" w:rsidRDefault="00FF6BA7" w:rsidP="00E201E7">
            <w:pPr>
              <w:pStyle w:val="Beschriftung"/>
              <w:spacing w:after="0"/>
              <w:jc w:val="center"/>
              <w:rPr>
                <w:sz w:val="20"/>
              </w:rPr>
            </w:pPr>
            <w:r w:rsidRPr="009F040F">
              <w:rPr>
                <w:sz w:val="20"/>
              </w:rPr>
              <w:t>H: 314-290</w:t>
            </w:r>
          </w:p>
        </w:tc>
        <w:tc>
          <w:tcPr>
            <w:tcW w:w="3118" w:type="dxa"/>
            <w:gridSpan w:val="3"/>
            <w:shd w:val="clear" w:color="auto" w:fill="auto"/>
            <w:vAlign w:val="center"/>
          </w:tcPr>
          <w:p w:rsidR="00FF6BA7" w:rsidRPr="009C5E28" w:rsidRDefault="00FF6BA7" w:rsidP="00E201E7">
            <w:pPr>
              <w:pStyle w:val="Beschriftung"/>
              <w:spacing w:after="0"/>
              <w:jc w:val="center"/>
              <w:rPr>
                <w:sz w:val="20"/>
              </w:rPr>
            </w:pPr>
            <w:r w:rsidRPr="009F040F">
              <w:rPr>
                <w:sz w:val="20"/>
              </w:rPr>
              <w:t>P: 280-​301+330+331-​309-​310-​305+351+338</w:t>
            </w:r>
          </w:p>
        </w:tc>
      </w:tr>
      <w:tr w:rsidR="00FF6BA7" w:rsidRPr="009C5E28" w:rsidTr="00E201E7">
        <w:tc>
          <w:tcPr>
            <w:tcW w:w="1009" w:type="dxa"/>
            <w:tcBorders>
              <w:top w:val="single" w:sz="8" w:space="0" w:color="4F81BD"/>
              <w:left w:val="single" w:sz="8" w:space="0" w:color="4F81BD"/>
              <w:bottom w:val="single" w:sz="8" w:space="0" w:color="4F81BD"/>
            </w:tcBorders>
            <w:shd w:val="clear" w:color="auto" w:fill="auto"/>
            <w:vAlign w:val="center"/>
          </w:tcPr>
          <w:p w:rsidR="00FF6BA7" w:rsidRPr="009C5E28" w:rsidRDefault="00FF6BA7" w:rsidP="00E201E7">
            <w:pPr>
              <w:spacing w:after="0"/>
              <w:jc w:val="center"/>
              <w:rPr>
                <w:b/>
                <w:bCs/>
              </w:rPr>
            </w:pPr>
            <w:r>
              <w:rPr>
                <w:b/>
                <w:noProof/>
                <w:lang w:eastAsia="de-DE"/>
              </w:rPr>
              <w:drawing>
                <wp:inline distT="0" distB="0" distL="0" distR="0">
                  <wp:extent cx="504190" cy="504190"/>
                  <wp:effectExtent l="19050" t="0" r="0" b="0"/>
                  <wp:docPr id="7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7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19050" t="0" r="0" b="0"/>
                  <wp:docPr id="7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7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7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7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11175" cy="511175"/>
                  <wp:effectExtent l="19050" t="0" r="3175" b="0"/>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F6BA7" w:rsidRPr="009C5E28" w:rsidRDefault="00FF6BA7" w:rsidP="00E201E7">
            <w:pPr>
              <w:spacing w:after="0"/>
              <w:jc w:val="center"/>
            </w:pPr>
            <w:r>
              <w:rPr>
                <w:noProof/>
                <w:lang w:eastAsia="de-DE"/>
              </w:rPr>
              <w:drawing>
                <wp:inline distT="0" distB="0" distL="0" distR="0">
                  <wp:extent cx="504190" cy="504190"/>
                  <wp:effectExtent l="0" t="0" r="0" b="0"/>
                  <wp:docPr id="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FF6BA7" w:rsidRPr="000C6882" w:rsidRDefault="00FF6BA7" w:rsidP="00FF6BA7"/>
    <w:p w:rsidR="00FF6BA7" w:rsidRDefault="00FF6BA7" w:rsidP="00FF6BA7">
      <w:pPr>
        <w:ind w:left="2124" w:hanging="2124"/>
      </w:pPr>
      <w:r>
        <w:t>Materialien:</w:t>
      </w:r>
      <w:r>
        <w:tab/>
      </w:r>
      <w:r w:rsidRPr="00D1698E">
        <w:t>Zweihalsrundkolben, Tropftrichter, pneumatische Wanne, 2 Standzyli</w:t>
      </w:r>
      <w:r w:rsidRPr="00D1698E">
        <w:t>n</w:t>
      </w:r>
      <w:r w:rsidRPr="00D1698E">
        <w:t>der, 6 Reagenzgläser, Stativmaterial</w:t>
      </w:r>
      <w:r>
        <w:t>, Heizpilz, Siedesteine</w:t>
      </w:r>
    </w:p>
    <w:p w:rsidR="00FF6BA7" w:rsidRDefault="00FF6BA7" w:rsidP="00FF6BA7">
      <w:r>
        <w:t>Chemikalien:</w:t>
      </w:r>
      <w:r>
        <w:tab/>
      </w:r>
      <w:r>
        <w:tab/>
        <w:t>Ethanol (wasserfrei), konz. Schwefelsäure</w:t>
      </w:r>
    </w:p>
    <w:p w:rsidR="00FF6BA7" w:rsidRDefault="00FF6BA7" w:rsidP="00FF6BA7">
      <w:pPr>
        <w:ind w:left="2124" w:hanging="2124"/>
      </w:pPr>
      <w:r>
        <w:t>Durchführung:</w:t>
      </w:r>
      <w:r>
        <w:tab/>
        <w:t>In einem Becherglas wird unter Kühlung ein Gemisch aus 30 mL Ethanol und 30 mL Schwefelsäure angesetzt. Dieses Gemisch wird anschließend in den Zweihalsrundkolben gegeben und mit einem Heizpilz bis zu einer Temperatur von 140°C erhitzt. Das entstehende Gas kann mit Standzyli</w:t>
      </w:r>
      <w:r>
        <w:t>n</w:t>
      </w:r>
      <w:r>
        <w:t>dern und Reagenzgläsern aufgefangen werden. Der erste entnommene Zylinder darf nicht für Verbrennungsversuche verwendet werden, wegen Explosionsgefahr.</w:t>
      </w:r>
    </w:p>
    <w:p w:rsidR="00FF6BA7" w:rsidRDefault="00FF6BA7" w:rsidP="00FF6BA7">
      <w:pPr>
        <w:ind w:left="2124" w:hanging="2124"/>
      </w:pPr>
      <w:r>
        <w:t>Beobachtung:</w:t>
      </w:r>
      <w:r>
        <w:tab/>
        <w:t>Beim Erhitzen des Ethanol-Schwefelsäure-Gemischs bildet sich ein Gas, welches mit der pneumatischen Wanne aufgefangen werden kann.</w:t>
      </w:r>
    </w:p>
    <w:p w:rsidR="00FF6BA7" w:rsidRDefault="00FF6BA7" w:rsidP="00FF6BA7">
      <w:pPr>
        <w:ind w:left="2124" w:hanging="2124"/>
        <w:jc w:val="center"/>
      </w:pPr>
      <w:r>
        <w:rPr>
          <w:noProof/>
          <w:lang w:eastAsia="de-DE"/>
        </w:rPr>
        <w:lastRenderedPageBreak/>
        <w:pict>
          <v:shape id="_x0000_s1054" type="#_x0000_t202" style="position:absolute;left:0;text-align:left;margin-left:90pt;margin-top:398.3pt;width:286.8pt;height:25.15pt;z-index:251662336;mso-width-relative:margin;mso-height-relative:margin" strokecolor="white [3212]">
            <v:textbox>
              <w:txbxContent>
                <w:p w:rsidR="00FF6BA7" w:rsidRDefault="00FF6BA7" w:rsidP="00FF6BA7">
                  <w:r>
                    <w:t>Abb2. – Versuchsaufbau zur Herstellung von Ethen</w:t>
                  </w:r>
                </w:p>
              </w:txbxContent>
            </v:textbox>
          </v:shape>
        </w:pict>
      </w:r>
      <w:r>
        <w:rPr>
          <w:noProof/>
          <w:lang w:eastAsia="de-DE"/>
        </w:rPr>
        <w:drawing>
          <wp:inline distT="0" distB="0" distL="0" distR="0">
            <wp:extent cx="3543660" cy="4935547"/>
            <wp:effectExtent l="19050" t="0" r="0" b="0"/>
            <wp:docPr id="82" name="Bild 7" descr="C:\Users\Till\Desktop\Ethe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ll\Desktop\Ethenh.png"/>
                    <pic:cNvPicPr>
                      <a:picLocks noChangeAspect="1" noChangeArrowheads="1"/>
                    </pic:cNvPicPr>
                  </pic:nvPicPr>
                  <pic:blipFill>
                    <a:blip r:embed="rId17" cstate="print"/>
                    <a:srcRect/>
                    <a:stretch>
                      <a:fillRect/>
                    </a:stretch>
                  </pic:blipFill>
                  <pic:spPr bwMode="auto">
                    <a:xfrm>
                      <a:off x="0" y="0"/>
                      <a:ext cx="3544715" cy="4937017"/>
                    </a:xfrm>
                    <a:prstGeom prst="rect">
                      <a:avLst/>
                    </a:prstGeom>
                    <a:noFill/>
                    <a:ln w="9525">
                      <a:noFill/>
                      <a:miter lim="800000"/>
                      <a:headEnd/>
                      <a:tailEnd/>
                    </a:ln>
                  </pic:spPr>
                </pic:pic>
              </a:graphicData>
            </a:graphic>
          </wp:inline>
        </w:drawing>
      </w:r>
    </w:p>
    <w:p w:rsidR="00FF6BA7" w:rsidRDefault="00FF6BA7" w:rsidP="00FF6BA7">
      <w:pPr>
        <w:ind w:left="2124" w:hanging="2124"/>
        <w:jc w:val="center"/>
      </w:pPr>
    </w:p>
    <w:p w:rsidR="00FF6BA7" w:rsidRDefault="00FF6BA7" w:rsidP="00FF6BA7">
      <w:pPr>
        <w:ind w:left="2124" w:hanging="2124"/>
      </w:pPr>
      <w:r>
        <w:t>Deutung:</w:t>
      </w:r>
      <w:r>
        <w:tab/>
        <w:t>Die Schwefelsäure spaltet Wasser vom Ethanol ab. Es bilden sich Ethen und Wasser.</w:t>
      </w:r>
    </w:p>
    <w:p w:rsidR="00FF6BA7" w:rsidRPr="008851E1" w:rsidRDefault="00FF6BA7" w:rsidP="00FF6BA7">
      <w:pPr>
        <w:ind w:left="2124" w:hanging="2124"/>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H</m:t>
              </m:r>
            </m:e>
            <m:sub>
              <m:d>
                <m:dPr>
                  <m:ctrlPr>
                    <w:rPr>
                      <w:rFonts w:ascii="Cambria Math" w:hAnsi="Cambria Math"/>
                      <w:i/>
                    </w:rPr>
                  </m:ctrlPr>
                </m:dPr>
                <m:e>
                  <m:r>
                    <w:rPr>
                      <w:rFonts w:ascii="Cambria Math" w:hAnsi="Cambria Math"/>
                    </w:rPr>
                    <m:t>l</m:t>
                  </m:r>
                </m:e>
              </m:d>
            </m:sub>
          </m:sSub>
          <m:box>
            <m:boxPr>
              <m:opEmu m:val="on"/>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e>
              </m:groupChr>
            </m:e>
          </m:box>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oMath>
      </m:oMathPara>
    </w:p>
    <w:p w:rsidR="00FF6BA7" w:rsidRDefault="00FF6BA7" w:rsidP="00FF6BA7">
      <w:pPr>
        <w:ind w:left="2124" w:hanging="2124"/>
        <w:rPr>
          <w:rFonts w:eastAsiaTheme="minorEastAsia"/>
        </w:rPr>
      </w:pPr>
      <w:r>
        <w:rPr>
          <w:rFonts w:eastAsiaTheme="minorEastAsia"/>
        </w:rPr>
        <w:t>Entsorgung:</w:t>
      </w:r>
      <w:r>
        <w:rPr>
          <w:rFonts w:eastAsiaTheme="minorEastAsia"/>
        </w:rPr>
        <w:tab/>
        <w:t>Das Ethen wird aufgefangen und für weitere Experimente verwendet. Die Lösungen im Zweihalsrundkolben werden neutralisiert und über das Abwasser entsorgt. Gase werden durch Lüften der Apparatur im Abzug en</w:t>
      </w:r>
      <w:r>
        <w:rPr>
          <w:rFonts w:eastAsiaTheme="minorEastAsia"/>
        </w:rPr>
        <w:t>t</w:t>
      </w:r>
      <w:r>
        <w:rPr>
          <w:rFonts w:eastAsiaTheme="minorEastAsia"/>
        </w:rPr>
        <w:t>sorgt.</w:t>
      </w:r>
    </w:p>
    <w:p w:rsidR="00FF6BA7" w:rsidRPr="005E42CD" w:rsidRDefault="00FF6BA7" w:rsidP="00FF6BA7">
      <w:pPr>
        <w:ind w:left="2124" w:hanging="2124"/>
        <w:rPr>
          <w:rFonts w:eastAsiaTheme="minorEastAsia"/>
        </w:rPr>
      </w:pPr>
      <w:r>
        <w:rPr>
          <w:rFonts w:eastAsiaTheme="minorEastAsia"/>
        </w:rPr>
        <w:t>Literatur:</w:t>
      </w:r>
      <w:r>
        <w:rPr>
          <w:rFonts w:eastAsiaTheme="minorEastAsia"/>
        </w:rPr>
        <w:tab/>
      </w:r>
      <w:r w:rsidRPr="005E42CD">
        <w:rPr>
          <w:rFonts w:eastAsiaTheme="minorEastAsia"/>
        </w:rPr>
        <w:t>[1] Prof. Dr. Blume 2002, Chemie rund um das Ethen, http://www.chemieunterricht.de/dc2/ch/cht-107.htm, zuletzt abgerufen am 07.08.2013</w:t>
      </w:r>
    </w:p>
    <w:p w:rsidR="00FF6BA7" w:rsidRDefault="00FF6BA7" w:rsidP="00FF6BA7">
      <w:pPr>
        <w:ind w:left="2124"/>
        <w:rPr>
          <w:rFonts w:eastAsiaTheme="minorEastAsia"/>
        </w:rPr>
      </w:pPr>
      <w:r>
        <w:rPr>
          <w:rFonts w:eastAsiaTheme="minorEastAsia"/>
          <w:noProof/>
        </w:rPr>
        <w:lastRenderedPageBreak/>
        <w:pict>
          <v:shape id="_x0000_s1053" type="#_x0000_t202" style="position:absolute;left:0;text-align:left;margin-left:-1.4pt;margin-top:57pt;width:451.7pt;height:169.55pt;z-index:251661312;mso-width-relative:margin;mso-height-relative:margin" strokecolor="#c0504d [3205]">
            <v:stroke dashstyle="dash"/>
            <v:textbox>
              <w:txbxContent>
                <w:p w:rsidR="00FF6BA7" w:rsidRDefault="00FF6BA7" w:rsidP="00FF6BA7">
                  <w:r>
                    <w:t>Mit diesem Experiment kann Ethen-Gas zu weiteren Untersuchungen hergestellt werden (V5). Es bietet einen Einstieg in die Welt der Alkene und deren Eigenschaften, indem bspw. zusätzlich zu den Experimenten aus V5, die Löslichkeit und Entflammbarkeit überprüft we</w:t>
                  </w:r>
                  <w:r>
                    <w:t>r</w:t>
                  </w:r>
                  <w:r>
                    <w:t xml:space="preserve">den. </w:t>
                  </w:r>
                </w:p>
                <w:p w:rsidR="00FF6BA7" w:rsidRDefault="00FF6BA7" w:rsidP="00FF6BA7">
                  <w:r>
                    <w:t>Besondere Vorsicht ist bei Verbrennungsexperimenten geboten, da Ethen-Luft-Gemische sehr explosiv sind.</w:t>
                  </w:r>
                </w:p>
                <w:p w:rsidR="00FF6BA7" w:rsidRDefault="00FF6BA7" w:rsidP="00FF6BA7">
                  <w:r>
                    <w:t>Wie bei der Herstellung von Gasen üblich, ist unter dem Abzug zu arbeiten.</w:t>
                  </w:r>
                </w:p>
              </w:txbxContent>
            </v:textbox>
            <w10:wrap type="square"/>
          </v:shape>
        </w:pict>
      </w:r>
      <w:r w:rsidRPr="005E42CD">
        <w:rPr>
          <w:rFonts w:eastAsiaTheme="minorEastAsia"/>
        </w:rPr>
        <w:t>[2] Hans Keune und Manfred Just 1999, Chemische Schulexperimente – Band 2 Organsiche Che</w:t>
      </w:r>
      <w:r>
        <w:rPr>
          <w:rFonts w:eastAsiaTheme="minorEastAsia"/>
        </w:rPr>
        <w:t>mie, S. 62</w:t>
      </w:r>
    </w:p>
    <w:p w:rsidR="00FF6BA7" w:rsidRDefault="00FF6BA7" w:rsidP="00FF6BA7">
      <w:pPr>
        <w:rPr>
          <w:rFonts w:eastAsiaTheme="minorEastAsia"/>
        </w:rPr>
      </w:pPr>
    </w:p>
    <w:p w:rsidR="00C31120" w:rsidRPr="00FF6BA7" w:rsidRDefault="00C31120" w:rsidP="00FF6BA7"/>
    <w:sectPr w:rsidR="00C31120" w:rsidRPr="00FF6BA7" w:rsidSect="00C31120">
      <w:head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E11" w:rsidRDefault="004D0E11" w:rsidP="0007623E">
      <w:pPr>
        <w:spacing w:after="0" w:line="240" w:lineRule="auto"/>
      </w:pPr>
      <w:r>
        <w:separator/>
      </w:r>
    </w:p>
  </w:endnote>
  <w:endnote w:type="continuationSeparator" w:id="1">
    <w:p w:rsidR="004D0E11" w:rsidRDefault="004D0E11" w:rsidP="00076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E11" w:rsidRDefault="004D0E11" w:rsidP="0007623E">
      <w:pPr>
        <w:spacing w:after="0" w:line="240" w:lineRule="auto"/>
      </w:pPr>
      <w:r>
        <w:separator/>
      </w:r>
    </w:p>
  </w:footnote>
  <w:footnote w:type="continuationSeparator" w:id="1">
    <w:p w:rsidR="004D0E11" w:rsidRDefault="004D0E11" w:rsidP="00076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23E" w:rsidRDefault="00FF6BA7">
    <w:pPr>
      <w:pStyle w:val="Kopfzeile"/>
    </w:pPr>
    <w:r>
      <w:t>V2 - Herstellung von Ethe</w:t>
    </w:r>
    <w:r w:rsidR="00622542">
      <w:t>n</w:t>
    </w:r>
    <w:r w:rsidR="0096712D">
      <w:tab/>
    </w:r>
    <w:r w:rsidR="0096712D">
      <w:tab/>
    </w:r>
    <w:r w:rsidR="0096712D">
      <w:tab/>
    </w: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7623E"/>
    <w:rsid w:val="0007623E"/>
    <w:rsid w:val="002455D9"/>
    <w:rsid w:val="002E5E80"/>
    <w:rsid w:val="004A194E"/>
    <w:rsid w:val="004D0E11"/>
    <w:rsid w:val="00622542"/>
    <w:rsid w:val="008A594E"/>
    <w:rsid w:val="0096712D"/>
    <w:rsid w:val="0098440F"/>
    <w:rsid w:val="009A7400"/>
    <w:rsid w:val="009E15E9"/>
    <w:rsid w:val="00A935F2"/>
    <w:rsid w:val="00BA4141"/>
    <w:rsid w:val="00C31120"/>
    <w:rsid w:val="00D51A2B"/>
    <w:rsid w:val="00E113F3"/>
    <w:rsid w:val="00E743BB"/>
    <w:rsid w:val="00EA45ED"/>
    <w:rsid w:val="00F4108B"/>
    <w:rsid w:val="00FF6B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23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7623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7623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7623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7623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7623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762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762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7623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762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623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7623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7623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7623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7623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7623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7623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7623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7623E"/>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7623E"/>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0762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623E"/>
    <w:rPr>
      <w:rFonts w:ascii="Tahoma" w:hAnsi="Tahoma" w:cs="Tahoma"/>
      <w:color w:val="1D1B11" w:themeColor="background2" w:themeShade="1A"/>
      <w:sz w:val="16"/>
      <w:szCs w:val="16"/>
    </w:rPr>
  </w:style>
  <w:style w:type="paragraph" w:styleId="Kopfzeile">
    <w:name w:val="header"/>
    <w:basedOn w:val="Standard"/>
    <w:link w:val="KopfzeileZchn"/>
    <w:uiPriority w:val="99"/>
    <w:unhideWhenUsed/>
    <w:rsid w:val="000762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623E"/>
    <w:rPr>
      <w:rFonts w:ascii="Cambria" w:hAnsi="Cambria"/>
      <w:color w:val="1D1B11" w:themeColor="background2" w:themeShade="1A"/>
    </w:rPr>
  </w:style>
  <w:style w:type="paragraph" w:styleId="Fuzeile">
    <w:name w:val="footer"/>
    <w:basedOn w:val="Standard"/>
    <w:link w:val="FuzeileZchn"/>
    <w:uiPriority w:val="99"/>
    <w:semiHidden/>
    <w:unhideWhenUsed/>
    <w:rsid w:val="0007623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7623E"/>
    <w:rPr>
      <w:rFonts w:ascii="Cambria" w:hAnsi="Cambria"/>
      <w:color w:val="1D1B11" w:themeColor="background2" w:themeShade="1A"/>
    </w:rPr>
  </w:style>
  <w:style w:type="paragraph" w:styleId="Textkrper">
    <w:name w:val="Body Text"/>
    <w:basedOn w:val="Standard"/>
    <w:link w:val="TextkrperZchn"/>
    <w:rsid w:val="00E113F3"/>
    <w:pPr>
      <w:suppressAutoHyphens/>
      <w:spacing w:after="120"/>
    </w:pPr>
    <w:rPr>
      <w:rFonts w:eastAsia="Arial Unicode MS" w:cs="Calibri"/>
      <w:color w:val="1D1B11"/>
      <w:kern w:val="1"/>
    </w:rPr>
  </w:style>
  <w:style w:type="character" w:customStyle="1" w:styleId="TextkrperZchn">
    <w:name w:val="Textkörper Zchn"/>
    <w:basedOn w:val="Absatz-Standardschriftart"/>
    <w:link w:val="Textkrper"/>
    <w:rsid w:val="00E113F3"/>
    <w:rPr>
      <w:rFonts w:ascii="Cambria" w:eastAsia="Arial Unicode MS" w:hAnsi="Cambria" w:cs="Calibri"/>
      <w:color w:val="1D1B11"/>
      <w:kern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B7285-7A4B-4B92-86AB-DF02FA45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218</Words>
  <Characters>1379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Wuttke</dc:creator>
  <cp:lastModifiedBy>Axel Wuttke</cp:lastModifiedBy>
  <cp:revision>2</cp:revision>
  <dcterms:created xsi:type="dcterms:W3CDTF">2013-08-12T20:32:00Z</dcterms:created>
  <dcterms:modified xsi:type="dcterms:W3CDTF">2013-08-12T20:32:00Z</dcterms:modified>
</cp:coreProperties>
</file>