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CE5" w:rsidRPr="00282CE5" w:rsidRDefault="00FA3E63" w:rsidP="00282CE5">
      <w:pPr>
        <w:keepNext/>
        <w:keepLines/>
        <w:numPr>
          <w:ilvl w:val="1"/>
          <w:numId w:val="0"/>
        </w:numPr>
        <w:ind w:left="576" w:hanging="576"/>
        <w:jc w:val="both"/>
        <w:outlineLvl w:val="1"/>
        <w:rPr>
          <w:rFonts w:asciiTheme="majorHAnsi" w:eastAsiaTheme="majorEastAsia" w:hAnsiTheme="majorHAnsi" w:cstheme="majorBidi"/>
          <w:b/>
          <w:bCs/>
          <w:color w:val="1D1B11" w:themeColor="background2" w:themeShade="1A"/>
          <w:szCs w:val="26"/>
        </w:rPr>
      </w:pPr>
      <w:r w:rsidRPr="00FA3E63">
        <w:rPr>
          <w:rFonts w:asciiTheme="majorHAnsi" w:eastAsiaTheme="majorEastAsia" w:hAnsiTheme="majorHAnsi" w:cstheme="majorBidi"/>
          <w:color w:val="1D1B11" w:themeColor="background2" w:themeShade="1A"/>
          <w:szCs w:val="26"/>
        </w:rPr>
        <w:pict>
          <v:shapetype id="_x0000_t202" coordsize="21600,21600" o:spt="202" path="m,l,21600r21600,l21600,xe">
            <v:stroke joinstyle="miter"/>
            <v:path gradientshapeok="t" o:connecttype="rect"/>
          </v:shapetype>
          <v:shape id="_x0000_s1056" type="#_x0000_t202" style="position:absolute;left:0;text-align:left;margin-left:-10.55pt;margin-top:29.8pt;width:462.45pt;height:101.1pt;z-index:251660288;mso-width-relative:margin;mso-height-relative:margin" fillcolor="white [3201]" strokecolor="#4bacc6 [3208]" strokeweight="1pt">
            <v:stroke dashstyle="dash"/>
            <v:shadow color="#868686"/>
            <v:textbox style="mso-next-textbox:#_x0000_s1056">
              <w:txbxContent>
                <w:p w:rsidR="00282CE5" w:rsidRPr="00282CE5" w:rsidRDefault="00282CE5" w:rsidP="00282CE5">
                  <w:pPr>
                    <w:jc w:val="both"/>
                    <w:rPr>
                      <w:rFonts w:asciiTheme="majorHAnsi" w:hAnsiTheme="majorHAnsi"/>
                    </w:rPr>
                  </w:pPr>
                  <w:r w:rsidRPr="00282CE5">
                    <w:rPr>
                      <w:rFonts w:asciiTheme="majorHAnsi" w:hAnsiTheme="majorHAnsi"/>
                    </w:rPr>
                    <w:t>Dieser Versuch zeigt, dass Ascorbinsäure als Konservierungsmittel für einen Apfel genutzt werden kann. Er zeigt außerdem ob Vitamin C-Tabletten wirklich Ascorbinsäure enthalten. Die Reaktionspartner müssen vorher nicht von den SuS gekannt werden. Für eine bessere Auswertung ist es aber wichtig, dass die SuS den Oxidationsbegriff kennen und wissen, dass hierbei Elektronen abgegeben werden.</w:t>
                  </w:r>
                </w:p>
              </w:txbxContent>
            </v:textbox>
            <w10:wrap type="square"/>
          </v:shape>
        </w:pict>
      </w:r>
      <w:bookmarkStart w:id="0" w:name="_Toc364088935"/>
      <w:r w:rsidR="00282CE5" w:rsidRPr="00282CE5">
        <w:rPr>
          <w:rFonts w:asciiTheme="majorHAnsi" w:eastAsiaTheme="majorEastAsia" w:hAnsiTheme="majorHAnsi" w:cstheme="majorBidi"/>
          <w:b/>
          <w:bCs/>
          <w:color w:val="1D1B11" w:themeColor="background2" w:themeShade="1A"/>
          <w:szCs w:val="26"/>
        </w:rPr>
        <w:t>V3 – Ascorbinsäure zur Konservierung</w:t>
      </w:r>
      <w:bookmarkEnd w:id="0"/>
    </w:p>
    <w:p w:rsidR="00282CE5" w:rsidRPr="00282CE5" w:rsidRDefault="00282CE5" w:rsidP="00282CE5">
      <w:pPr>
        <w:jc w:val="both"/>
        <w:rPr>
          <w:rFonts w:asciiTheme="majorHAnsi" w:hAnsiTheme="majorHAnsi"/>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282CE5" w:rsidRPr="00282CE5" w:rsidTr="00AF3449">
        <w:tc>
          <w:tcPr>
            <w:tcW w:w="9322" w:type="dxa"/>
            <w:gridSpan w:val="9"/>
            <w:shd w:val="clear" w:color="auto" w:fill="4F81BD"/>
            <w:vAlign w:val="center"/>
          </w:tcPr>
          <w:p w:rsidR="00282CE5" w:rsidRPr="00282CE5" w:rsidRDefault="00282CE5" w:rsidP="00282CE5">
            <w:pPr>
              <w:jc w:val="both"/>
              <w:rPr>
                <w:rFonts w:asciiTheme="majorHAnsi" w:hAnsiTheme="majorHAnsi"/>
                <w:b/>
                <w:bCs/>
              </w:rPr>
            </w:pPr>
            <w:r w:rsidRPr="00282CE5">
              <w:rPr>
                <w:rFonts w:asciiTheme="majorHAnsi" w:hAnsiTheme="majorHAnsi"/>
                <w:b/>
                <w:bCs/>
              </w:rPr>
              <w:t>Gefahrenstoffe</w:t>
            </w:r>
          </w:p>
        </w:tc>
      </w:tr>
      <w:tr w:rsidR="00282CE5" w:rsidRPr="00282CE5" w:rsidTr="00AF3449">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82CE5" w:rsidRPr="00282CE5" w:rsidRDefault="00282CE5" w:rsidP="00282CE5">
            <w:pPr>
              <w:jc w:val="both"/>
              <w:rPr>
                <w:rFonts w:asciiTheme="majorHAnsi" w:hAnsiTheme="majorHAnsi"/>
                <w:b/>
                <w:bCs/>
              </w:rPr>
            </w:pPr>
            <w:r w:rsidRPr="00282CE5">
              <w:rPr>
                <w:rFonts w:asciiTheme="majorHAnsi" w:hAnsiTheme="majorHAnsi"/>
              </w:rPr>
              <w:t>Ascorbinsäure</w:t>
            </w:r>
          </w:p>
        </w:tc>
        <w:tc>
          <w:tcPr>
            <w:tcW w:w="3177" w:type="dxa"/>
            <w:gridSpan w:val="3"/>
            <w:tcBorders>
              <w:top w:val="single" w:sz="8" w:space="0" w:color="4F81BD"/>
              <w:bottom w:val="single" w:sz="8" w:space="0" w:color="4F81BD"/>
            </w:tcBorders>
            <w:shd w:val="clear" w:color="auto" w:fill="auto"/>
            <w:vAlign w:val="center"/>
          </w:tcPr>
          <w:p w:rsidR="00282CE5" w:rsidRPr="00282CE5" w:rsidRDefault="00282CE5" w:rsidP="00282CE5">
            <w:pPr>
              <w:jc w:val="both"/>
              <w:rPr>
                <w:rFonts w:asciiTheme="majorHAnsi" w:hAnsiTheme="majorHAnsi"/>
              </w:rPr>
            </w:pPr>
            <w:r w:rsidRPr="00282CE5">
              <w:rPr>
                <w:rFonts w:asciiTheme="majorHAnsi" w:hAnsiTheme="majorHAnsi"/>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82CE5" w:rsidRPr="00282CE5" w:rsidRDefault="00282CE5" w:rsidP="00282CE5">
            <w:pPr>
              <w:jc w:val="both"/>
              <w:rPr>
                <w:rFonts w:asciiTheme="majorHAnsi" w:hAnsiTheme="majorHAnsi"/>
              </w:rPr>
            </w:pPr>
            <w:r w:rsidRPr="00282CE5">
              <w:rPr>
                <w:rFonts w:asciiTheme="majorHAnsi" w:hAnsiTheme="majorHAnsi"/>
              </w:rPr>
              <w:t>P: -</w:t>
            </w:r>
          </w:p>
        </w:tc>
      </w:tr>
      <w:tr w:rsidR="00282CE5" w:rsidRPr="00282CE5" w:rsidTr="00AF3449">
        <w:tc>
          <w:tcPr>
            <w:tcW w:w="1009" w:type="dxa"/>
            <w:tcBorders>
              <w:top w:val="single" w:sz="8" w:space="0" w:color="4F81BD"/>
              <w:left w:val="single" w:sz="8" w:space="0" w:color="4F81BD"/>
              <w:bottom w:val="single" w:sz="8" w:space="0" w:color="4F81BD"/>
            </w:tcBorders>
            <w:shd w:val="clear" w:color="auto" w:fill="auto"/>
            <w:vAlign w:val="center"/>
          </w:tcPr>
          <w:p w:rsidR="00282CE5" w:rsidRPr="00282CE5" w:rsidRDefault="00282CE5" w:rsidP="00282CE5">
            <w:pPr>
              <w:jc w:val="both"/>
              <w:rPr>
                <w:rFonts w:asciiTheme="majorHAnsi" w:hAnsiTheme="majorHAnsi"/>
                <w:b/>
                <w:bCs/>
              </w:rPr>
            </w:pPr>
            <w:r w:rsidRPr="00282CE5">
              <w:rPr>
                <w:rFonts w:asciiTheme="majorHAnsi" w:hAnsiTheme="majorHAnsi"/>
                <w:b/>
                <w:noProof/>
                <w:lang w:eastAsia="de-DE"/>
              </w:rPr>
              <w:drawing>
                <wp:inline distT="0" distB="0" distL="0" distR="0">
                  <wp:extent cx="538061" cy="540000"/>
                  <wp:effectExtent l="0" t="0" r="0" b="0"/>
                  <wp:docPr id="271" name="Bild 6" descr="C:\Users\TOSHIBA\Desktop\SVP_Chemie\Protokolle\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SVP_Chemie\Protokolle\Piktogramme\Ätzend.png"/>
                          <pic:cNvPicPr>
                            <a:picLocks noChangeAspect="1" noChangeArrowheads="1"/>
                          </pic:cNvPicPr>
                        </pic:nvPicPr>
                        <pic:blipFill>
                          <a:blip r:embed="rId7" cstate="print">
                            <a:duotone>
                              <a:schemeClr val="bg2">
                                <a:shade val="45000"/>
                                <a:satMod val="135000"/>
                              </a:schemeClr>
                              <a:prstClr val="white"/>
                            </a:duotone>
                          </a:blip>
                          <a:srcRect/>
                          <a:stretch>
                            <a:fillRect/>
                          </a:stretch>
                        </pic:blipFill>
                        <pic:spPr bwMode="auto">
                          <a:xfrm>
                            <a:off x="0" y="0"/>
                            <a:ext cx="53806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82CE5" w:rsidRPr="00282CE5" w:rsidRDefault="00282CE5" w:rsidP="00282CE5">
            <w:pPr>
              <w:jc w:val="both"/>
              <w:rPr>
                <w:rFonts w:asciiTheme="majorHAnsi" w:hAnsiTheme="majorHAnsi"/>
              </w:rPr>
            </w:pPr>
            <w:r w:rsidRPr="00282CE5">
              <w:rPr>
                <w:rFonts w:asciiTheme="majorHAnsi" w:hAnsiTheme="majorHAnsi"/>
                <w:noProof/>
                <w:lang w:eastAsia="de-DE"/>
              </w:rPr>
              <w:drawing>
                <wp:inline distT="0" distB="0" distL="0" distR="0">
                  <wp:extent cx="538321" cy="540000"/>
                  <wp:effectExtent l="0" t="0" r="0" b="0"/>
                  <wp:docPr id="272" name="Bild 7" descr="C:\Users\TOSHIBA\Desktop\SVP_Chemie\Protokoll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SVP_Chemie\Protokolle\Piktogramme\Brandfördernd.png"/>
                          <pic:cNvPicPr>
                            <a:picLocks noChangeAspect="1" noChangeArrowheads="1"/>
                          </pic:cNvPicPr>
                        </pic:nvPicPr>
                        <pic:blipFill>
                          <a:blip r:embed="rId8"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82CE5" w:rsidRPr="00282CE5" w:rsidRDefault="00282CE5" w:rsidP="00282CE5">
            <w:pPr>
              <w:jc w:val="both"/>
              <w:rPr>
                <w:rFonts w:asciiTheme="majorHAnsi" w:hAnsiTheme="majorHAnsi"/>
              </w:rPr>
            </w:pPr>
            <w:r w:rsidRPr="00282CE5">
              <w:rPr>
                <w:rFonts w:asciiTheme="majorHAnsi" w:hAnsiTheme="majorHAnsi"/>
                <w:noProof/>
                <w:lang w:eastAsia="de-DE"/>
              </w:rPr>
              <w:drawing>
                <wp:inline distT="0" distB="0" distL="0" distR="0">
                  <wp:extent cx="540000" cy="551986"/>
                  <wp:effectExtent l="19050" t="0" r="0" b="0"/>
                  <wp:docPr id="273" name="Bild 8" descr="C:\Users\TOSHIBA\Desktop\SVP_Chemie\Protokoll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SVP_Chemie\Protokolle\Piktogramme\Brennbar.png"/>
                          <pic:cNvPicPr>
                            <a:picLocks noChangeAspect="1" noChangeArrowheads="1"/>
                          </pic:cNvPicPr>
                        </pic:nvPicPr>
                        <pic:blipFill>
                          <a:blip r:embed="rId9" cstate="print">
                            <a:duotone>
                              <a:schemeClr val="bg2">
                                <a:shade val="45000"/>
                                <a:satMod val="135000"/>
                              </a:schemeClr>
                              <a:prstClr val="white"/>
                            </a:duotone>
                          </a:blip>
                          <a:srcRect/>
                          <a:stretch>
                            <a:fillRect/>
                          </a:stretch>
                        </pic:blipFill>
                        <pic:spPr bwMode="auto">
                          <a:xfrm>
                            <a:off x="0" y="0"/>
                            <a:ext cx="540000" cy="551986"/>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82CE5" w:rsidRPr="00282CE5" w:rsidRDefault="00282CE5" w:rsidP="00282CE5">
            <w:pPr>
              <w:jc w:val="both"/>
              <w:rPr>
                <w:rFonts w:asciiTheme="majorHAnsi" w:hAnsiTheme="majorHAnsi"/>
              </w:rPr>
            </w:pPr>
            <w:r w:rsidRPr="00282CE5">
              <w:rPr>
                <w:rFonts w:asciiTheme="majorHAnsi" w:hAnsiTheme="majorHAnsi"/>
                <w:noProof/>
                <w:lang w:eastAsia="de-DE"/>
              </w:rPr>
              <w:drawing>
                <wp:inline distT="0" distB="0" distL="0" distR="0">
                  <wp:extent cx="538320" cy="540000"/>
                  <wp:effectExtent l="0" t="0" r="0" b="0"/>
                  <wp:docPr id="274" name="Bild 9" descr="C:\Users\TOSHIBA\Desktop\SVP_Chemie\Protokoll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SVP_Chemie\Protokolle\Piktogramme\Explosionsgefahr.png"/>
                          <pic:cNvPicPr>
                            <a:picLocks noChangeAspect="1" noChangeArrowheads="1"/>
                          </pic:cNvPicPr>
                        </pic:nvPicPr>
                        <pic:blipFill>
                          <a:blip r:embed="rId10" cstate="print">
                            <a:duotone>
                              <a:schemeClr val="bg2">
                                <a:shade val="45000"/>
                                <a:satMod val="135000"/>
                              </a:schemeClr>
                              <a:prstClr val="white"/>
                            </a:duotone>
                          </a:blip>
                          <a:srcRect/>
                          <a:stretch>
                            <a:fillRect/>
                          </a:stretch>
                        </pic:blipFill>
                        <pic:spPr bwMode="auto">
                          <a:xfrm>
                            <a:off x="0" y="0"/>
                            <a:ext cx="538320" cy="54000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82CE5" w:rsidRPr="00282CE5" w:rsidRDefault="00282CE5" w:rsidP="00282CE5">
            <w:pPr>
              <w:jc w:val="both"/>
              <w:rPr>
                <w:rFonts w:asciiTheme="majorHAnsi" w:hAnsiTheme="majorHAnsi"/>
              </w:rPr>
            </w:pPr>
            <w:r w:rsidRPr="00282CE5">
              <w:rPr>
                <w:rFonts w:asciiTheme="majorHAnsi" w:hAnsiTheme="majorHAnsi"/>
                <w:noProof/>
                <w:lang w:eastAsia="de-DE"/>
              </w:rPr>
              <w:drawing>
                <wp:inline distT="0" distB="0" distL="0" distR="0">
                  <wp:extent cx="538321" cy="540000"/>
                  <wp:effectExtent l="0" t="0" r="0" b="0"/>
                  <wp:docPr id="275" name="Bild 10" descr="C:\Users\TOSHIBA\Desktop\SVP_Chemie\Protokoll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SVP_Chemie\Protokolle\Piktogramme\Gasflasche.png"/>
                          <pic:cNvPicPr>
                            <a:picLocks noChangeAspect="1" noChangeArrowheads="1"/>
                          </pic:cNvPicPr>
                        </pic:nvPicPr>
                        <pic:blipFill>
                          <a:blip r:embed="rId11" cstate="print">
                            <a:duotone>
                              <a:schemeClr val="bg2">
                                <a:shade val="45000"/>
                                <a:satMod val="135000"/>
                              </a:schemeClr>
                              <a:prstClr val="white"/>
                            </a:duotone>
                          </a:blip>
                          <a:srcRect/>
                          <a:stretch>
                            <a:fillRect/>
                          </a:stretch>
                        </pic:blipFill>
                        <pic:spPr bwMode="auto">
                          <a:xfrm>
                            <a:off x="0" y="0"/>
                            <a:ext cx="538321" cy="54000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82CE5" w:rsidRPr="00282CE5" w:rsidRDefault="00282CE5" w:rsidP="00282CE5">
            <w:pPr>
              <w:jc w:val="both"/>
              <w:rPr>
                <w:rFonts w:asciiTheme="majorHAnsi" w:hAnsiTheme="majorHAnsi"/>
              </w:rPr>
            </w:pPr>
            <w:r w:rsidRPr="00282CE5">
              <w:rPr>
                <w:rFonts w:asciiTheme="majorHAnsi" w:hAnsiTheme="majorHAnsi"/>
                <w:noProof/>
                <w:lang w:eastAsia="de-DE"/>
              </w:rPr>
              <w:drawing>
                <wp:inline distT="0" distB="0" distL="0" distR="0">
                  <wp:extent cx="539491" cy="540000"/>
                  <wp:effectExtent l="0" t="0" r="0" b="0"/>
                  <wp:docPr id="276" name="Bild 11" descr="C:\Users\TOSHIBA\Desktop\SVP_Chemie\Protokoll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esktop\SVP_Chemie\Protokolle\Piktogramme\Gesundheitsgefahr.png"/>
                          <pic:cNvPicPr>
                            <a:picLocks noChangeAspect="1" noChangeArrowheads="1"/>
                          </pic:cNvPicPr>
                        </pic:nvPicPr>
                        <pic:blipFill>
                          <a:blip r:embed="rId12"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82CE5" w:rsidRPr="00282CE5" w:rsidRDefault="00282CE5" w:rsidP="00282CE5">
            <w:pPr>
              <w:jc w:val="both"/>
              <w:rPr>
                <w:rFonts w:asciiTheme="majorHAnsi" w:hAnsiTheme="majorHAnsi"/>
              </w:rPr>
            </w:pPr>
            <w:r w:rsidRPr="00282CE5">
              <w:rPr>
                <w:rFonts w:asciiTheme="majorHAnsi" w:hAnsiTheme="majorHAnsi"/>
                <w:noProof/>
                <w:lang w:eastAsia="de-DE"/>
              </w:rPr>
              <w:drawing>
                <wp:inline distT="0" distB="0" distL="0" distR="0">
                  <wp:extent cx="539491" cy="540000"/>
                  <wp:effectExtent l="0" t="0" r="0" b="0"/>
                  <wp:docPr id="277" name="Bild 12" descr="C:\Users\TOSHIBA\Desktop\SVP_Chemie\Protokoll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OSHIBA\Desktop\SVP_Chemie\Protokolle\Piktogramme\Giftig.png"/>
                          <pic:cNvPicPr>
                            <a:picLocks noChangeAspect="1" noChangeArrowheads="1"/>
                          </pic:cNvPicPr>
                        </pic:nvPicPr>
                        <pic:blipFill>
                          <a:blip r:embed="rId13"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82CE5" w:rsidRPr="00282CE5" w:rsidRDefault="00282CE5" w:rsidP="00282CE5">
            <w:pPr>
              <w:jc w:val="both"/>
              <w:rPr>
                <w:rFonts w:asciiTheme="majorHAnsi" w:hAnsiTheme="majorHAnsi"/>
              </w:rPr>
            </w:pPr>
            <w:r w:rsidRPr="00282CE5">
              <w:rPr>
                <w:rFonts w:asciiTheme="majorHAnsi" w:hAnsiTheme="majorHAnsi"/>
                <w:noProof/>
                <w:lang w:eastAsia="de-DE"/>
              </w:rPr>
              <w:drawing>
                <wp:inline distT="0" distB="0" distL="0" distR="0">
                  <wp:extent cx="539999" cy="540000"/>
                  <wp:effectExtent l="0" t="0" r="0" b="0"/>
                  <wp:docPr id="27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4"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39999"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82CE5" w:rsidRPr="00282CE5" w:rsidRDefault="00282CE5" w:rsidP="00282CE5">
            <w:pPr>
              <w:jc w:val="both"/>
              <w:rPr>
                <w:rFonts w:asciiTheme="majorHAnsi" w:hAnsiTheme="majorHAnsi"/>
              </w:rPr>
            </w:pPr>
            <w:r w:rsidRPr="00282CE5">
              <w:rPr>
                <w:rFonts w:asciiTheme="majorHAnsi" w:hAnsiTheme="majorHAnsi"/>
                <w:noProof/>
                <w:lang w:eastAsia="de-DE"/>
              </w:rPr>
              <w:drawing>
                <wp:inline distT="0" distB="0" distL="0" distR="0">
                  <wp:extent cx="539491" cy="540000"/>
                  <wp:effectExtent l="0" t="0" r="0" b="0"/>
                  <wp:docPr id="279" name="Bild 13" descr="C:\Users\TOSHIBA\Desktop\SVP_Chemie\Protokoll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Desktop\SVP_Chemie\Protokolle\Piktogramme\Umweltgefahr.png"/>
                          <pic:cNvPicPr>
                            <a:picLocks noChangeAspect="1" noChangeArrowheads="1"/>
                          </pic:cNvPicPr>
                        </pic:nvPicPr>
                        <pic:blipFill>
                          <a:blip r:embed="rId15" cstate="print">
                            <a:duotone>
                              <a:schemeClr val="bg2">
                                <a:shade val="45000"/>
                                <a:satMod val="135000"/>
                              </a:schemeClr>
                              <a:prstClr val="white"/>
                            </a:duotone>
                          </a:blip>
                          <a:srcRect/>
                          <a:stretch>
                            <a:fillRect/>
                          </a:stretch>
                        </pic:blipFill>
                        <pic:spPr bwMode="auto">
                          <a:xfrm>
                            <a:off x="0" y="0"/>
                            <a:ext cx="539491" cy="540000"/>
                          </a:xfrm>
                          <a:prstGeom prst="rect">
                            <a:avLst/>
                          </a:prstGeom>
                          <a:noFill/>
                          <a:ln w="9525">
                            <a:noFill/>
                            <a:miter lim="800000"/>
                            <a:headEnd/>
                            <a:tailEnd/>
                          </a:ln>
                        </pic:spPr>
                      </pic:pic>
                    </a:graphicData>
                  </a:graphic>
                </wp:inline>
              </w:drawing>
            </w:r>
          </w:p>
        </w:tc>
      </w:tr>
    </w:tbl>
    <w:p w:rsidR="00282CE5" w:rsidRPr="00282CE5" w:rsidRDefault="00282CE5" w:rsidP="00282CE5">
      <w:pPr>
        <w:jc w:val="both"/>
        <w:rPr>
          <w:rFonts w:asciiTheme="majorHAnsi" w:hAnsiTheme="majorHAnsi"/>
        </w:rPr>
      </w:pPr>
    </w:p>
    <w:p w:rsidR="00282CE5" w:rsidRPr="00282CE5" w:rsidRDefault="00282CE5" w:rsidP="00282CE5">
      <w:pPr>
        <w:jc w:val="both"/>
        <w:rPr>
          <w:rFonts w:asciiTheme="majorHAnsi" w:hAnsiTheme="majorHAnsi"/>
        </w:rPr>
      </w:pPr>
      <w:r w:rsidRPr="00282CE5">
        <w:rPr>
          <w:rFonts w:asciiTheme="majorHAnsi" w:hAnsiTheme="majorHAnsi"/>
        </w:rPr>
        <w:t xml:space="preserve">Materialien: </w:t>
      </w:r>
      <w:r w:rsidRPr="00282CE5">
        <w:rPr>
          <w:rFonts w:asciiTheme="majorHAnsi" w:hAnsiTheme="majorHAnsi"/>
        </w:rPr>
        <w:tab/>
        <w:t>Vitamin C-Tablette, Apfel</w:t>
      </w:r>
    </w:p>
    <w:p w:rsidR="00282CE5" w:rsidRPr="00282CE5" w:rsidRDefault="00282CE5" w:rsidP="00282CE5">
      <w:pPr>
        <w:jc w:val="both"/>
        <w:rPr>
          <w:rFonts w:asciiTheme="majorHAnsi" w:hAnsiTheme="majorHAnsi"/>
        </w:rPr>
      </w:pPr>
    </w:p>
    <w:p w:rsidR="00282CE5" w:rsidRPr="00282CE5" w:rsidRDefault="00282CE5" w:rsidP="00282CE5">
      <w:pPr>
        <w:jc w:val="both"/>
        <w:rPr>
          <w:rFonts w:asciiTheme="majorHAnsi" w:hAnsiTheme="majorHAnsi"/>
        </w:rPr>
      </w:pPr>
      <w:r w:rsidRPr="00282CE5">
        <w:rPr>
          <w:rFonts w:asciiTheme="majorHAnsi" w:hAnsiTheme="majorHAnsi"/>
        </w:rPr>
        <w:t>Chemikalien:</w:t>
      </w:r>
      <w:r w:rsidRPr="00282CE5">
        <w:rPr>
          <w:rFonts w:asciiTheme="majorHAnsi" w:hAnsiTheme="majorHAnsi"/>
        </w:rPr>
        <w:tab/>
        <w:t>Ascorbinsäure</w:t>
      </w:r>
    </w:p>
    <w:p w:rsidR="00282CE5" w:rsidRPr="00282CE5" w:rsidRDefault="00282CE5" w:rsidP="00282CE5">
      <w:pPr>
        <w:jc w:val="both"/>
        <w:rPr>
          <w:rFonts w:asciiTheme="majorHAnsi" w:hAnsiTheme="majorHAnsi"/>
        </w:rPr>
      </w:pPr>
    </w:p>
    <w:p w:rsidR="00282CE5" w:rsidRPr="00282CE5" w:rsidRDefault="00282CE5" w:rsidP="00282CE5">
      <w:pPr>
        <w:jc w:val="both"/>
        <w:rPr>
          <w:rFonts w:asciiTheme="majorHAnsi" w:hAnsiTheme="majorHAnsi"/>
        </w:rPr>
      </w:pPr>
      <w:r w:rsidRPr="00282CE5">
        <w:rPr>
          <w:rFonts w:asciiTheme="majorHAnsi" w:hAnsiTheme="majorHAnsi"/>
        </w:rPr>
        <w:t>Durchführung:</w:t>
      </w:r>
      <w:r w:rsidRPr="00282CE5">
        <w:rPr>
          <w:rFonts w:asciiTheme="majorHAnsi" w:hAnsiTheme="majorHAnsi"/>
        </w:rPr>
        <w:tab/>
        <w:t xml:space="preserve">Löse je 2 Spatel Ascorbinsäure und 2 Vitamin C-Tabletten in 10 </w:t>
      </w:r>
      <w:proofErr w:type="spellStart"/>
      <w:r w:rsidRPr="00282CE5">
        <w:rPr>
          <w:rFonts w:asciiTheme="majorHAnsi" w:hAnsiTheme="majorHAnsi"/>
        </w:rPr>
        <w:t>mL</w:t>
      </w:r>
      <w:proofErr w:type="spellEnd"/>
      <w:r w:rsidRPr="00282CE5">
        <w:rPr>
          <w:rFonts w:asciiTheme="majorHAnsi" w:hAnsiTheme="majorHAnsi"/>
        </w:rPr>
        <w:t xml:space="preserve"> </w:t>
      </w:r>
      <w:proofErr w:type="spellStart"/>
      <w:r w:rsidRPr="00282CE5">
        <w:rPr>
          <w:rFonts w:asciiTheme="majorHAnsi" w:hAnsiTheme="majorHAnsi"/>
        </w:rPr>
        <w:t>destl</w:t>
      </w:r>
      <w:proofErr w:type="spellEnd"/>
      <w:r w:rsidRPr="00282CE5">
        <w:rPr>
          <w:rFonts w:asciiTheme="majorHAnsi" w:hAnsiTheme="majorHAnsi"/>
        </w:rPr>
        <w:t>. Wasser.</w:t>
      </w:r>
    </w:p>
    <w:p w:rsidR="00282CE5" w:rsidRPr="00282CE5" w:rsidRDefault="00282CE5" w:rsidP="00282CE5">
      <w:pPr>
        <w:ind w:left="1410"/>
        <w:jc w:val="both"/>
        <w:rPr>
          <w:rFonts w:asciiTheme="majorHAnsi" w:hAnsiTheme="majorHAnsi"/>
        </w:rPr>
      </w:pPr>
      <w:r w:rsidRPr="00282CE5">
        <w:rPr>
          <w:rFonts w:asciiTheme="majorHAnsi" w:hAnsiTheme="majorHAnsi"/>
        </w:rPr>
        <w:t xml:space="preserve">Teile einen Apfel in drei Teile. Apfelstück 1 bleibt unbehandelt, Apfelstück 2 wird in Vitamin C-Tabletten-Lösung getränkt und Apfelstück 3 in </w:t>
      </w:r>
      <w:proofErr w:type="spellStart"/>
      <w:r w:rsidRPr="00282CE5">
        <w:rPr>
          <w:rFonts w:asciiTheme="majorHAnsi" w:hAnsiTheme="majorHAnsi"/>
        </w:rPr>
        <w:t>Ascorbinsäurelösung</w:t>
      </w:r>
      <w:proofErr w:type="spellEnd"/>
      <w:r w:rsidRPr="00282CE5">
        <w:rPr>
          <w:rFonts w:asciiTheme="majorHAnsi" w:hAnsiTheme="majorHAnsi"/>
        </w:rPr>
        <w:t>. Die Apfelstücke werden zur Seite gelegt und immer wieder beobachtet.</w:t>
      </w:r>
    </w:p>
    <w:p w:rsidR="00282CE5" w:rsidRPr="00282CE5" w:rsidRDefault="00282CE5" w:rsidP="00282CE5">
      <w:pPr>
        <w:jc w:val="both"/>
        <w:rPr>
          <w:rFonts w:asciiTheme="majorHAnsi" w:hAnsiTheme="majorHAnsi"/>
        </w:rPr>
      </w:pPr>
    </w:p>
    <w:p w:rsidR="00282CE5" w:rsidRPr="00282CE5" w:rsidRDefault="00282CE5" w:rsidP="00282CE5">
      <w:pPr>
        <w:ind w:left="1410" w:hanging="1410"/>
        <w:jc w:val="both"/>
        <w:rPr>
          <w:rFonts w:asciiTheme="majorHAnsi" w:hAnsiTheme="majorHAnsi"/>
        </w:rPr>
      </w:pPr>
      <w:r w:rsidRPr="00282CE5">
        <w:rPr>
          <w:rFonts w:asciiTheme="majorHAnsi" w:hAnsiTheme="majorHAnsi"/>
        </w:rPr>
        <w:t>Beobachtung:</w:t>
      </w:r>
      <w:r w:rsidRPr="00282CE5">
        <w:rPr>
          <w:rFonts w:asciiTheme="majorHAnsi" w:hAnsiTheme="majorHAnsi"/>
        </w:rPr>
        <w:tab/>
        <w:t>Während sich das unbehandelte Apfelstück 1 immer bräunlicher färbt, sehen die anderen Stücke auch nach Stunden frisch aus.</w:t>
      </w:r>
    </w:p>
    <w:p w:rsidR="00282CE5" w:rsidRPr="00282CE5" w:rsidRDefault="00282CE5" w:rsidP="00282CE5">
      <w:pPr>
        <w:jc w:val="both"/>
        <w:rPr>
          <w:rFonts w:asciiTheme="majorHAnsi" w:hAnsiTheme="majorHAnsi"/>
        </w:rPr>
      </w:pPr>
    </w:p>
    <w:p w:rsidR="00282CE5" w:rsidRPr="00282CE5" w:rsidRDefault="00282CE5" w:rsidP="00282CE5">
      <w:pPr>
        <w:jc w:val="both"/>
        <w:rPr>
          <w:rFonts w:asciiTheme="majorHAnsi" w:hAnsiTheme="majorHAnsi"/>
        </w:rPr>
      </w:pPr>
      <w:r w:rsidRPr="00282CE5">
        <w:rPr>
          <w:rFonts w:asciiTheme="majorHAnsi" w:hAnsiTheme="majorHAnsi"/>
        </w:rPr>
        <w:t>(a)</w:t>
      </w:r>
      <w:r w:rsidRPr="00282CE5">
        <w:rPr>
          <w:rFonts w:asciiTheme="majorHAnsi" w:hAnsiTheme="majorHAnsi"/>
        </w:rPr>
        <w:tab/>
      </w:r>
      <w:r w:rsidRPr="00282CE5">
        <w:rPr>
          <w:rFonts w:asciiTheme="majorHAnsi" w:hAnsiTheme="majorHAnsi"/>
        </w:rPr>
        <w:tab/>
      </w:r>
      <w:r w:rsidRPr="00282CE5">
        <w:rPr>
          <w:rFonts w:asciiTheme="majorHAnsi" w:hAnsiTheme="majorHAnsi"/>
        </w:rPr>
        <w:tab/>
      </w:r>
      <w:r w:rsidRPr="00282CE5">
        <w:rPr>
          <w:rFonts w:asciiTheme="majorHAnsi" w:hAnsiTheme="majorHAnsi"/>
        </w:rPr>
        <w:tab/>
        <w:t>(b)</w:t>
      </w:r>
      <w:r w:rsidRPr="00282CE5">
        <w:rPr>
          <w:rFonts w:asciiTheme="majorHAnsi" w:hAnsiTheme="majorHAnsi"/>
        </w:rPr>
        <w:tab/>
      </w:r>
      <w:r w:rsidRPr="00282CE5">
        <w:rPr>
          <w:rFonts w:asciiTheme="majorHAnsi" w:hAnsiTheme="majorHAnsi"/>
        </w:rPr>
        <w:tab/>
      </w:r>
      <w:r w:rsidRPr="00282CE5">
        <w:rPr>
          <w:rFonts w:asciiTheme="majorHAnsi" w:hAnsiTheme="majorHAnsi"/>
        </w:rPr>
        <w:tab/>
      </w:r>
      <w:r w:rsidRPr="00282CE5">
        <w:rPr>
          <w:rFonts w:asciiTheme="majorHAnsi" w:hAnsiTheme="majorHAnsi"/>
        </w:rPr>
        <w:tab/>
        <w:t xml:space="preserve">   (c)</w:t>
      </w:r>
    </w:p>
    <w:p w:rsidR="00282CE5" w:rsidRPr="00282CE5" w:rsidRDefault="00282CE5" w:rsidP="00282CE5">
      <w:pPr>
        <w:jc w:val="both"/>
        <w:rPr>
          <w:rFonts w:asciiTheme="majorHAnsi" w:hAnsiTheme="majorHAnsi"/>
          <w:bCs/>
        </w:rPr>
      </w:pPr>
      <w:r w:rsidRPr="00282CE5">
        <w:rPr>
          <w:rFonts w:asciiTheme="majorHAnsi" w:hAnsiTheme="majorHAnsi"/>
          <w:bCs/>
          <w:noProof/>
          <w:lang w:eastAsia="de-DE"/>
        </w:rPr>
        <w:drawing>
          <wp:inline distT="0" distB="0" distL="0" distR="0">
            <wp:extent cx="1720049" cy="1584000"/>
            <wp:effectExtent l="19050" t="0" r="0" b="0"/>
            <wp:docPr id="280" name="Bild 14" descr="C:\Users\TOSHIBA\Desktop\SVP_Chemie\Carbonsäure\Bilder 11&amp;12\DSCF2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OSHIBA\Desktop\SVP_Chemie\Carbonsäure\Bilder 11&amp;12\DSCF2734.JPG"/>
                    <pic:cNvPicPr>
                      <a:picLocks noChangeAspect="1" noChangeArrowheads="1"/>
                    </pic:cNvPicPr>
                  </pic:nvPicPr>
                  <pic:blipFill>
                    <a:blip r:embed="rId16" cstate="print"/>
                    <a:srcRect l="29188" t="36491" r="53980" b="42858"/>
                    <a:stretch>
                      <a:fillRect/>
                    </a:stretch>
                  </pic:blipFill>
                  <pic:spPr bwMode="auto">
                    <a:xfrm>
                      <a:off x="0" y="0"/>
                      <a:ext cx="1720049" cy="1584000"/>
                    </a:xfrm>
                    <a:prstGeom prst="rect">
                      <a:avLst/>
                    </a:prstGeom>
                    <a:noFill/>
                    <a:ln w="9525">
                      <a:noFill/>
                      <a:miter lim="800000"/>
                      <a:headEnd/>
                      <a:tailEnd/>
                    </a:ln>
                  </pic:spPr>
                </pic:pic>
              </a:graphicData>
            </a:graphic>
          </wp:inline>
        </w:drawing>
      </w:r>
      <w:r w:rsidRPr="00282CE5">
        <w:rPr>
          <w:rFonts w:asciiTheme="majorHAnsi" w:hAnsiTheme="majorHAnsi"/>
          <w:bCs/>
          <w:noProof/>
          <w:lang w:eastAsia="de-DE"/>
        </w:rPr>
        <w:drawing>
          <wp:inline distT="0" distB="0" distL="0" distR="0">
            <wp:extent cx="1911981" cy="1584000"/>
            <wp:effectExtent l="19050" t="0" r="0" b="0"/>
            <wp:docPr id="281" name="Bild 15" descr="C:\Users\TOSHIBA\Desktop\SVP_Chemie\Carbonsäure\Bilder 11&amp;12\DSCF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SHIBA\Desktop\SVP_Chemie\Carbonsäure\Bilder 11&amp;12\DSCF2737.JPG"/>
                    <pic:cNvPicPr>
                      <a:picLocks noChangeAspect="1" noChangeArrowheads="1"/>
                    </pic:cNvPicPr>
                  </pic:nvPicPr>
                  <pic:blipFill>
                    <a:blip r:embed="rId17" cstate="print"/>
                    <a:srcRect l="39165" t="38639" r="28531" b="25762"/>
                    <a:stretch>
                      <a:fillRect/>
                    </a:stretch>
                  </pic:blipFill>
                  <pic:spPr bwMode="auto">
                    <a:xfrm>
                      <a:off x="0" y="0"/>
                      <a:ext cx="1911981" cy="1584000"/>
                    </a:xfrm>
                    <a:prstGeom prst="rect">
                      <a:avLst/>
                    </a:prstGeom>
                    <a:noFill/>
                    <a:ln w="9525">
                      <a:noFill/>
                      <a:miter lim="800000"/>
                      <a:headEnd/>
                      <a:tailEnd/>
                    </a:ln>
                  </pic:spPr>
                </pic:pic>
              </a:graphicData>
            </a:graphic>
          </wp:inline>
        </w:drawing>
      </w:r>
      <w:r w:rsidRPr="00282CE5">
        <w:rPr>
          <w:rFonts w:asciiTheme="majorHAnsi" w:hAnsiTheme="majorHAnsi"/>
          <w:bCs/>
          <w:noProof/>
          <w:lang w:eastAsia="de-DE"/>
        </w:rPr>
        <w:drawing>
          <wp:inline distT="0" distB="0" distL="0" distR="0">
            <wp:extent cx="1988386" cy="1584000"/>
            <wp:effectExtent l="19050" t="0" r="0" b="0"/>
            <wp:docPr id="282" name="Bild 16" descr="C:\Users\TOSHIBA\Desktop\SVP_Chemie\Carbonsäure\Bilder 11&amp;12\DSCF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SHIBA\Desktop\SVP_Chemie\Carbonsäure\Bilder 11&amp;12\DSCF2748.JPG"/>
                    <pic:cNvPicPr>
                      <a:picLocks noChangeAspect="1" noChangeArrowheads="1"/>
                    </pic:cNvPicPr>
                  </pic:nvPicPr>
                  <pic:blipFill>
                    <a:blip r:embed="rId18" cstate="print"/>
                    <a:srcRect l="24132" t="33921" r="58017" b="47136"/>
                    <a:stretch>
                      <a:fillRect/>
                    </a:stretch>
                  </pic:blipFill>
                  <pic:spPr bwMode="auto">
                    <a:xfrm>
                      <a:off x="0" y="0"/>
                      <a:ext cx="1988386" cy="1584000"/>
                    </a:xfrm>
                    <a:prstGeom prst="rect">
                      <a:avLst/>
                    </a:prstGeom>
                    <a:noFill/>
                    <a:ln w="9525">
                      <a:noFill/>
                      <a:miter lim="800000"/>
                      <a:headEnd/>
                      <a:tailEnd/>
                    </a:ln>
                  </pic:spPr>
                </pic:pic>
              </a:graphicData>
            </a:graphic>
          </wp:inline>
        </w:drawing>
      </w:r>
    </w:p>
    <w:p w:rsidR="00282CE5" w:rsidRPr="00282CE5" w:rsidRDefault="00282CE5" w:rsidP="00282CE5">
      <w:pPr>
        <w:jc w:val="both"/>
        <w:rPr>
          <w:rFonts w:asciiTheme="majorHAnsi" w:hAnsiTheme="majorHAnsi"/>
          <w:bCs/>
        </w:rPr>
      </w:pPr>
      <w:proofErr w:type="spellStart"/>
      <w:r w:rsidRPr="00282CE5">
        <w:rPr>
          <w:rFonts w:asciiTheme="majorHAnsi" w:hAnsiTheme="majorHAnsi"/>
          <w:bCs/>
        </w:rPr>
        <w:t>Abb</w:t>
      </w:r>
      <w:proofErr w:type="spellEnd"/>
      <w:r w:rsidRPr="00282CE5">
        <w:rPr>
          <w:rFonts w:asciiTheme="majorHAnsi" w:hAnsiTheme="majorHAnsi"/>
          <w:bCs/>
        </w:rPr>
        <w:t xml:space="preserve"> </w:t>
      </w:r>
      <w:r w:rsidR="000A1440">
        <w:rPr>
          <w:rFonts w:asciiTheme="majorHAnsi" w:hAnsiTheme="majorHAnsi"/>
          <w:bCs/>
        </w:rPr>
        <w:t>1</w:t>
      </w:r>
      <w:r w:rsidRPr="00282CE5">
        <w:rPr>
          <w:rFonts w:asciiTheme="majorHAnsi" w:hAnsiTheme="majorHAnsi"/>
          <w:bCs/>
        </w:rPr>
        <w:t>: Die Apfelstücke zum Zeitpunkt 0 (a), nach 10 min (b) und nach 270 min (c).</w:t>
      </w:r>
    </w:p>
    <w:p w:rsidR="00282CE5" w:rsidRPr="00282CE5" w:rsidRDefault="00282CE5" w:rsidP="00282CE5">
      <w:pPr>
        <w:jc w:val="both"/>
        <w:rPr>
          <w:rFonts w:asciiTheme="majorHAnsi" w:hAnsiTheme="majorHAnsi"/>
          <w:bCs/>
          <w:color w:val="FF0000"/>
        </w:rPr>
      </w:pPr>
    </w:p>
    <w:p w:rsidR="00282CE5" w:rsidRPr="00282CE5" w:rsidRDefault="00282CE5" w:rsidP="00282CE5">
      <w:pPr>
        <w:ind w:left="1410" w:hanging="1410"/>
        <w:jc w:val="both"/>
        <w:rPr>
          <w:rFonts w:asciiTheme="majorHAnsi" w:hAnsiTheme="majorHAnsi"/>
        </w:rPr>
      </w:pPr>
      <w:r w:rsidRPr="00282CE5">
        <w:rPr>
          <w:rFonts w:asciiTheme="majorHAnsi" w:hAnsiTheme="majorHAnsi"/>
        </w:rPr>
        <w:lastRenderedPageBreak/>
        <w:t>Deutung:</w:t>
      </w:r>
      <w:r w:rsidRPr="00282CE5">
        <w:rPr>
          <w:rFonts w:asciiTheme="majorHAnsi" w:hAnsiTheme="majorHAnsi"/>
        </w:rPr>
        <w:tab/>
        <w:t xml:space="preserve">Die Zellen des Apfels enthalten </w:t>
      </w:r>
      <w:proofErr w:type="spellStart"/>
      <w:r w:rsidRPr="00282CE5">
        <w:rPr>
          <w:rFonts w:asciiTheme="majorHAnsi" w:hAnsiTheme="majorHAnsi"/>
        </w:rPr>
        <w:t>Polyphenole</w:t>
      </w:r>
      <w:proofErr w:type="spellEnd"/>
      <w:r w:rsidRPr="00282CE5">
        <w:rPr>
          <w:rFonts w:asciiTheme="majorHAnsi" w:hAnsiTheme="majorHAnsi"/>
        </w:rPr>
        <w:t xml:space="preserve"> und Enzyme, die mit dem Luftsauerstoff reagieren und oxidieren.</w:t>
      </w:r>
    </w:p>
    <w:p w:rsidR="00282CE5" w:rsidRPr="00282CE5" w:rsidRDefault="00282CE5" w:rsidP="00282CE5">
      <w:pPr>
        <w:ind w:left="1410" w:hanging="1410"/>
        <w:jc w:val="both"/>
        <w:rPr>
          <w:rFonts w:asciiTheme="majorHAnsi" w:hAnsiTheme="majorHAnsi"/>
        </w:rPr>
      </w:pPr>
      <w:r w:rsidRPr="00282CE5">
        <w:rPr>
          <w:rFonts w:asciiTheme="majorHAnsi" w:hAnsiTheme="majorHAnsi"/>
        </w:rPr>
        <w:tab/>
        <w:t xml:space="preserve">Phenole oxidieren dabei zum Beispiel zu farbigen Verbindungen wie </w:t>
      </w:r>
      <w:proofErr w:type="spellStart"/>
      <w:r w:rsidRPr="00282CE5">
        <w:rPr>
          <w:rFonts w:asciiTheme="majorHAnsi" w:hAnsiTheme="majorHAnsi"/>
        </w:rPr>
        <w:t>Chinonen</w:t>
      </w:r>
      <w:proofErr w:type="spellEnd"/>
      <w:r w:rsidRPr="00282CE5">
        <w:rPr>
          <w:rFonts w:asciiTheme="majorHAnsi" w:hAnsiTheme="majorHAnsi"/>
        </w:rPr>
        <w:t>.</w:t>
      </w:r>
    </w:p>
    <w:p w:rsidR="00282CE5" w:rsidRPr="00282CE5" w:rsidRDefault="00282CE5" w:rsidP="00282CE5">
      <w:pPr>
        <w:ind w:left="1416"/>
        <w:jc w:val="both"/>
        <w:rPr>
          <w:rFonts w:asciiTheme="majorHAnsi" w:hAnsiTheme="majorHAnsi"/>
        </w:rPr>
      </w:pPr>
      <w:r w:rsidRPr="00282CE5">
        <w:rPr>
          <w:rFonts w:asciiTheme="majorHAnsi" w:hAnsiTheme="majorHAnsi"/>
        </w:rPr>
        <w:t xml:space="preserve">Ascorbinsäure wirkt als Antioxidationsmittel, da es selbst zu </w:t>
      </w:r>
      <w:proofErr w:type="spellStart"/>
      <w:r w:rsidRPr="00282CE5">
        <w:rPr>
          <w:rFonts w:asciiTheme="majorHAnsi" w:hAnsiTheme="majorHAnsi"/>
        </w:rPr>
        <w:t>Dehydroascorbinsäure</w:t>
      </w:r>
      <w:proofErr w:type="spellEnd"/>
      <w:r w:rsidRPr="00282CE5">
        <w:rPr>
          <w:rFonts w:asciiTheme="majorHAnsi" w:hAnsiTheme="majorHAnsi"/>
        </w:rPr>
        <w:t xml:space="preserve"> oxidiert wird. Die Wirkung der Ascorbinsäure ist zeitlich beschränkt und funktioniert nur, solange noch nicht alle Ascorbinsäure oxidiert ist.</w:t>
      </w:r>
    </w:p>
    <w:p w:rsidR="00282CE5" w:rsidRPr="00282CE5" w:rsidRDefault="00282CE5" w:rsidP="00282CE5">
      <w:pPr>
        <w:ind w:left="1416"/>
        <w:jc w:val="both"/>
        <w:rPr>
          <w:rFonts w:asciiTheme="majorHAnsi" w:hAnsiTheme="majorHAnsi"/>
        </w:rPr>
      </w:pPr>
      <w:r w:rsidRPr="00282CE5">
        <w:rPr>
          <w:rFonts w:asciiTheme="majorHAnsi" w:hAnsiTheme="majorHAnsi"/>
        </w:rPr>
        <w:t xml:space="preserve">Ascorbinsäure reagiert mit Sauerstoff zu </w:t>
      </w:r>
      <w:proofErr w:type="spellStart"/>
      <w:r w:rsidRPr="00282CE5">
        <w:rPr>
          <w:rFonts w:asciiTheme="majorHAnsi" w:hAnsiTheme="majorHAnsi"/>
        </w:rPr>
        <w:t>Dehydroascorbinsäure</w:t>
      </w:r>
      <w:proofErr w:type="spellEnd"/>
      <w:r w:rsidRPr="00282CE5">
        <w:rPr>
          <w:rFonts w:asciiTheme="majorHAnsi" w:hAnsiTheme="majorHAnsi"/>
        </w:rPr>
        <w:t>:</w:t>
      </w:r>
    </w:p>
    <w:p w:rsidR="00282CE5" w:rsidRPr="00282CE5" w:rsidRDefault="00282CE5" w:rsidP="00282CE5">
      <w:pPr>
        <w:tabs>
          <w:tab w:val="left" w:pos="708"/>
          <w:tab w:val="left" w:pos="1416"/>
          <w:tab w:val="left" w:pos="2124"/>
          <w:tab w:val="left" w:pos="2832"/>
          <w:tab w:val="left" w:pos="3540"/>
          <w:tab w:val="left" w:pos="4248"/>
          <w:tab w:val="left" w:pos="4956"/>
          <w:tab w:val="left" w:pos="5664"/>
          <w:tab w:val="left" w:pos="6555"/>
        </w:tabs>
        <w:ind w:left="708" w:firstLine="708"/>
        <w:jc w:val="both"/>
        <w:rPr>
          <w:rFonts w:ascii="Cambria" w:hAnsi="Cambria"/>
          <w:noProof/>
          <w:lang w:eastAsia="de-DE"/>
        </w:rPr>
      </w:pPr>
      <w:r w:rsidRPr="00282CE5">
        <w:rPr>
          <w:rFonts w:ascii="Cambria" w:hAnsi="Cambria"/>
          <w:noProof/>
          <w:lang w:eastAsia="de-DE"/>
        </w:rPr>
        <w:drawing>
          <wp:inline distT="0" distB="0" distL="0" distR="0">
            <wp:extent cx="4762500" cy="1524000"/>
            <wp:effectExtent l="19050" t="0" r="0" b="0"/>
            <wp:docPr id="283" name="Bild 20" descr="http://www.chemieunterricht.de/dc2/citrone/images/asch2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hemieunterricht.de/dc2/citrone/images/asch2_2.gif"/>
                    <pic:cNvPicPr>
                      <a:picLocks noChangeAspect="1" noChangeArrowheads="1"/>
                    </pic:cNvPicPr>
                  </pic:nvPicPr>
                  <pic:blipFill>
                    <a:blip r:embed="rId19" cstate="print"/>
                    <a:srcRect/>
                    <a:stretch>
                      <a:fillRect/>
                    </a:stretch>
                  </pic:blipFill>
                  <pic:spPr bwMode="auto">
                    <a:xfrm>
                      <a:off x="0" y="0"/>
                      <a:ext cx="4762500" cy="1524000"/>
                    </a:xfrm>
                    <a:prstGeom prst="rect">
                      <a:avLst/>
                    </a:prstGeom>
                    <a:noFill/>
                    <a:ln w="9525">
                      <a:noFill/>
                      <a:miter lim="800000"/>
                      <a:headEnd/>
                      <a:tailEnd/>
                    </a:ln>
                  </pic:spPr>
                </pic:pic>
              </a:graphicData>
            </a:graphic>
          </wp:inline>
        </w:drawing>
      </w:r>
    </w:p>
    <w:p w:rsidR="00282CE5" w:rsidRPr="00282CE5" w:rsidRDefault="00282CE5" w:rsidP="00282CE5">
      <w:pPr>
        <w:tabs>
          <w:tab w:val="left" w:pos="708"/>
          <w:tab w:val="left" w:pos="1416"/>
          <w:tab w:val="left" w:pos="2124"/>
          <w:tab w:val="left" w:pos="2832"/>
          <w:tab w:val="left" w:pos="3540"/>
          <w:tab w:val="left" w:pos="4248"/>
          <w:tab w:val="left" w:pos="4956"/>
          <w:tab w:val="left" w:pos="5664"/>
          <w:tab w:val="left" w:pos="6555"/>
        </w:tabs>
        <w:jc w:val="both"/>
        <w:rPr>
          <w:rFonts w:ascii="Cambria" w:hAnsi="Cambria"/>
          <w:noProof/>
          <w:color w:val="1D1B11" w:themeColor="background2" w:themeShade="1A"/>
          <w:lang w:eastAsia="de-DE"/>
        </w:rPr>
      </w:pPr>
    </w:p>
    <w:p w:rsidR="00282CE5" w:rsidRPr="00282CE5" w:rsidRDefault="00282CE5" w:rsidP="00282CE5">
      <w:pPr>
        <w:tabs>
          <w:tab w:val="left" w:pos="708"/>
          <w:tab w:val="left" w:pos="1416"/>
          <w:tab w:val="left" w:pos="2124"/>
          <w:tab w:val="left" w:pos="2832"/>
          <w:tab w:val="left" w:pos="3540"/>
          <w:tab w:val="left" w:pos="4248"/>
          <w:tab w:val="left" w:pos="4956"/>
          <w:tab w:val="left" w:pos="5664"/>
          <w:tab w:val="left" w:pos="6555"/>
        </w:tabs>
        <w:ind w:left="708" w:firstLine="708"/>
        <w:jc w:val="both"/>
        <w:rPr>
          <w:rFonts w:ascii="Cambria" w:hAnsi="Cambria"/>
          <w:noProof/>
          <w:color w:val="1D1B11" w:themeColor="background2" w:themeShade="1A"/>
          <w:lang w:eastAsia="de-DE"/>
        </w:rPr>
      </w:pPr>
      <w:r w:rsidRPr="00282CE5">
        <w:rPr>
          <w:rFonts w:ascii="Cambria" w:hAnsi="Cambria"/>
          <w:noProof/>
          <w:color w:val="1D1B11" w:themeColor="background2" w:themeShade="1A"/>
          <w:lang w:eastAsia="de-DE"/>
        </w:rPr>
        <w:t>Phenole reagieren ohne die Anwesenheit von Ascorbinsäure zu Chinonen:</w:t>
      </w:r>
    </w:p>
    <w:p w:rsidR="00282CE5" w:rsidRPr="00282CE5" w:rsidRDefault="00282CE5" w:rsidP="00282CE5">
      <w:pPr>
        <w:ind w:left="708" w:firstLine="708"/>
        <w:jc w:val="both"/>
        <w:rPr>
          <w:rFonts w:asciiTheme="majorHAnsi" w:hAnsiTheme="majorHAnsi"/>
        </w:rPr>
      </w:pPr>
      <w:r w:rsidRPr="00282CE5">
        <w:rPr>
          <w:rFonts w:asciiTheme="majorHAnsi" w:hAnsiTheme="majorHAnsi"/>
          <w:noProof/>
          <w:lang w:eastAsia="de-DE"/>
        </w:rPr>
        <w:drawing>
          <wp:inline distT="0" distB="0" distL="0" distR="0">
            <wp:extent cx="581025" cy="1362075"/>
            <wp:effectExtent l="19050" t="0" r="0" b="0"/>
            <wp:docPr id="284" name="Bild 5" descr="http://www.chemieunterricht.de/dc2/phenol/images/two.gif"/>
            <wp:cNvGraphicFramePr/>
            <a:graphic xmlns:a="http://schemas.openxmlformats.org/drawingml/2006/main">
              <a:graphicData uri="http://schemas.openxmlformats.org/drawingml/2006/picture">
                <pic:pic xmlns:pic="http://schemas.openxmlformats.org/drawingml/2006/picture">
                  <pic:nvPicPr>
                    <pic:cNvPr id="4" name="Grafik 3" descr="http://www.chemieunterricht.de/dc2/phenol/images/two.gif"/>
                    <pic:cNvPicPr/>
                  </pic:nvPicPr>
                  <pic:blipFill>
                    <a:blip r:embed="rId20" cstate="print"/>
                    <a:srcRect t="46642" r="87423"/>
                    <a:stretch>
                      <a:fillRect/>
                    </a:stretch>
                  </pic:blipFill>
                  <pic:spPr bwMode="auto">
                    <a:xfrm>
                      <a:off x="0" y="0"/>
                      <a:ext cx="581025" cy="1362075"/>
                    </a:xfrm>
                    <a:prstGeom prst="rect">
                      <a:avLst/>
                    </a:prstGeom>
                    <a:noFill/>
                    <a:ln w="9525">
                      <a:noFill/>
                      <a:miter lim="800000"/>
                      <a:headEnd/>
                      <a:tailEnd/>
                    </a:ln>
                  </pic:spPr>
                </pic:pic>
              </a:graphicData>
            </a:graphic>
          </wp:inline>
        </w:drawing>
      </w:r>
      <w:r w:rsidRPr="00282CE5">
        <w:rPr>
          <w:rFonts w:asciiTheme="majorHAnsi" w:hAnsiTheme="majorHAnsi"/>
          <w:noProof/>
          <w:lang w:eastAsia="de-DE"/>
        </w:rPr>
        <w:drawing>
          <wp:inline distT="0" distB="0" distL="0" distR="0">
            <wp:extent cx="1209675" cy="1314450"/>
            <wp:effectExtent l="0" t="0" r="0" b="0"/>
            <wp:docPr id="285" name="Bild 20" descr="http://www.chemieunterricht.de/dc2/citrone/images/asch2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hemieunterricht.de/dc2/citrone/images/asch2_2.gif"/>
                    <pic:cNvPicPr>
                      <a:picLocks noChangeAspect="1" noChangeArrowheads="1"/>
                    </pic:cNvPicPr>
                  </pic:nvPicPr>
                  <pic:blipFill>
                    <a:blip r:embed="rId19" cstate="print"/>
                    <a:srcRect l="24600" t="13750" r="50000"/>
                    <a:stretch>
                      <a:fillRect/>
                    </a:stretch>
                  </pic:blipFill>
                  <pic:spPr bwMode="auto">
                    <a:xfrm>
                      <a:off x="0" y="0"/>
                      <a:ext cx="1209675" cy="1314450"/>
                    </a:xfrm>
                    <a:prstGeom prst="rect">
                      <a:avLst/>
                    </a:prstGeom>
                    <a:noFill/>
                    <a:ln w="9525">
                      <a:noFill/>
                      <a:miter lim="800000"/>
                      <a:headEnd/>
                      <a:tailEnd/>
                    </a:ln>
                  </pic:spPr>
                </pic:pic>
              </a:graphicData>
            </a:graphic>
          </wp:inline>
        </w:drawing>
      </w:r>
      <w:r w:rsidRPr="00282CE5">
        <w:rPr>
          <w:rFonts w:asciiTheme="majorHAnsi" w:hAnsiTheme="majorHAnsi"/>
          <w:noProof/>
          <w:lang w:eastAsia="de-DE"/>
        </w:rPr>
        <w:drawing>
          <wp:inline distT="0" distB="0" distL="0" distR="0">
            <wp:extent cx="742950" cy="1247775"/>
            <wp:effectExtent l="0" t="0" r="0" b="0"/>
            <wp:docPr id="286" name="Bild 6" descr="http://www.chemieunterricht.de/dc2/phenol/images/two.gif"/>
            <wp:cNvGraphicFramePr/>
            <a:graphic xmlns:a="http://schemas.openxmlformats.org/drawingml/2006/main">
              <a:graphicData uri="http://schemas.openxmlformats.org/drawingml/2006/picture">
                <pic:pic xmlns:pic="http://schemas.openxmlformats.org/drawingml/2006/picture">
                  <pic:nvPicPr>
                    <pic:cNvPr id="5" name="Grafik 4" descr="http://www.chemieunterricht.de/dc2/phenol/images/two.gif"/>
                    <pic:cNvPicPr/>
                  </pic:nvPicPr>
                  <pic:blipFill>
                    <a:blip r:embed="rId20" cstate="print"/>
                    <a:srcRect l="59794" t="51120" r="24124"/>
                    <a:stretch>
                      <a:fillRect/>
                    </a:stretch>
                  </pic:blipFill>
                  <pic:spPr bwMode="auto">
                    <a:xfrm>
                      <a:off x="0" y="0"/>
                      <a:ext cx="742950" cy="1247775"/>
                    </a:xfrm>
                    <a:prstGeom prst="rect">
                      <a:avLst/>
                    </a:prstGeom>
                    <a:noFill/>
                    <a:ln w="9525">
                      <a:noFill/>
                      <a:miter lim="800000"/>
                      <a:headEnd/>
                      <a:tailEnd/>
                    </a:ln>
                  </pic:spPr>
                </pic:pic>
              </a:graphicData>
            </a:graphic>
          </wp:inline>
        </w:drawing>
      </w:r>
      <w:r w:rsidRPr="00282CE5">
        <w:rPr>
          <w:rFonts w:asciiTheme="majorHAnsi" w:hAnsiTheme="majorHAnsi"/>
          <w:noProof/>
          <w:lang w:eastAsia="de-DE"/>
        </w:rPr>
        <w:drawing>
          <wp:inline distT="0" distB="0" distL="0" distR="0">
            <wp:extent cx="1104900" cy="1247775"/>
            <wp:effectExtent l="0" t="0" r="0" b="0"/>
            <wp:docPr id="287" name="Bild 20" descr="http://www.chemieunterricht.de/dc2/citrone/images/asch2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hemieunterricht.de/dc2/citrone/images/asch2_2.gif"/>
                    <pic:cNvPicPr>
                      <a:picLocks noChangeAspect="1" noChangeArrowheads="1"/>
                    </pic:cNvPicPr>
                  </pic:nvPicPr>
                  <pic:blipFill>
                    <a:blip r:embed="rId19" cstate="print"/>
                    <a:srcRect l="76800" t="18125"/>
                    <a:stretch>
                      <a:fillRect/>
                    </a:stretch>
                  </pic:blipFill>
                  <pic:spPr bwMode="auto">
                    <a:xfrm>
                      <a:off x="0" y="0"/>
                      <a:ext cx="1104900" cy="1247775"/>
                    </a:xfrm>
                    <a:prstGeom prst="rect">
                      <a:avLst/>
                    </a:prstGeom>
                    <a:noFill/>
                    <a:ln w="9525">
                      <a:noFill/>
                      <a:miter lim="800000"/>
                      <a:headEnd/>
                      <a:tailEnd/>
                    </a:ln>
                  </pic:spPr>
                </pic:pic>
              </a:graphicData>
            </a:graphic>
          </wp:inline>
        </w:drawing>
      </w:r>
    </w:p>
    <w:p w:rsidR="00282CE5" w:rsidRPr="00282CE5" w:rsidRDefault="00282CE5" w:rsidP="00282CE5">
      <w:pPr>
        <w:jc w:val="both"/>
        <w:rPr>
          <w:rFonts w:asciiTheme="majorHAnsi" w:hAnsiTheme="majorHAnsi"/>
        </w:rPr>
      </w:pPr>
    </w:p>
    <w:p w:rsidR="00282CE5" w:rsidRPr="00282CE5" w:rsidRDefault="00282CE5" w:rsidP="00282CE5">
      <w:pPr>
        <w:ind w:left="1410" w:hanging="1410"/>
        <w:jc w:val="both"/>
        <w:rPr>
          <w:rFonts w:asciiTheme="majorHAnsi" w:hAnsiTheme="majorHAnsi"/>
        </w:rPr>
      </w:pPr>
      <w:r w:rsidRPr="00282CE5">
        <w:rPr>
          <w:rFonts w:asciiTheme="majorHAnsi" w:hAnsiTheme="majorHAnsi"/>
        </w:rPr>
        <w:t>Entsorgung:</w:t>
      </w:r>
      <w:r w:rsidRPr="00282CE5">
        <w:rPr>
          <w:rFonts w:asciiTheme="majorHAnsi" w:hAnsiTheme="majorHAnsi"/>
        </w:rPr>
        <w:tab/>
        <w:t>Die Lösungen können im Ausguss und die Apfelstücke im Restmüll entsorgt werden.</w:t>
      </w:r>
    </w:p>
    <w:p w:rsidR="00282CE5" w:rsidRPr="00282CE5" w:rsidRDefault="00282CE5" w:rsidP="00282CE5">
      <w:pPr>
        <w:jc w:val="both"/>
        <w:rPr>
          <w:rFonts w:asciiTheme="majorHAnsi" w:hAnsiTheme="majorHAnsi"/>
        </w:rPr>
      </w:pPr>
    </w:p>
    <w:p w:rsidR="00282CE5" w:rsidRPr="00282CE5" w:rsidRDefault="00282CE5" w:rsidP="00282CE5">
      <w:pPr>
        <w:jc w:val="both"/>
        <w:rPr>
          <w:rFonts w:asciiTheme="majorHAnsi" w:hAnsiTheme="majorHAnsi"/>
        </w:rPr>
      </w:pPr>
      <w:r w:rsidRPr="00282CE5">
        <w:rPr>
          <w:rFonts w:asciiTheme="majorHAnsi" w:hAnsiTheme="majorHAnsi"/>
        </w:rPr>
        <w:t>Literatur:</w:t>
      </w:r>
      <w:r w:rsidRPr="00282CE5">
        <w:rPr>
          <w:rFonts w:asciiTheme="majorHAnsi" w:hAnsiTheme="majorHAnsi"/>
        </w:rPr>
        <w:tab/>
        <w:t>-</w:t>
      </w:r>
    </w:p>
    <w:p w:rsidR="00282CE5" w:rsidRPr="00282CE5" w:rsidRDefault="00282CE5" w:rsidP="00282CE5">
      <w:pPr>
        <w:jc w:val="both"/>
        <w:rPr>
          <w:rFonts w:asciiTheme="majorHAnsi" w:hAnsiTheme="majorHAnsi"/>
        </w:rPr>
      </w:pPr>
    </w:p>
    <w:p w:rsidR="00282CE5" w:rsidRPr="00282CE5" w:rsidRDefault="00FA3E63" w:rsidP="00282CE5">
      <w:pPr>
        <w:jc w:val="both"/>
        <w:rPr>
          <w:rFonts w:asciiTheme="majorHAnsi" w:hAnsiTheme="majorHAnsi"/>
          <w:color w:val="FF0000"/>
        </w:rPr>
      </w:pPr>
      <w:r>
        <w:rPr>
          <w:rFonts w:asciiTheme="majorHAnsi" w:hAnsiTheme="majorHAnsi"/>
          <w:color w:val="FF0000"/>
        </w:rPr>
      </w:r>
      <w:r>
        <w:rPr>
          <w:rFonts w:asciiTheme="majorHAnsi" w:hAnsiTheme="majorHAnsi"/>
          <w:color w:val="FF0000"/>
        </w:rPr>
        <w:pict>
          <v:shape id="_x0000_s1057" type="#_x0000_t202" style="width:462.45pt;height:161.4pt;mso-position-horizontal-relative:char;mso-position-vertical-relative:line;mso-width-relative:margin;mso-height-relative:margin" fillcolor="white [3201]" strokecolor="#c0504d [3205]" strokeweight="1pt">
            <v:stroke dashstyle="dash"/>
            <v:shadow color="#868686"/>
            <v:textbox style="mso-next-textbox:#_x0000_s1057">
              <w:txbxContent>
                <w:p w:rsidR="00282CE5" w:rsidRPr="00282CE5" w:rsidRDefault="00282CE5" w:rsidP="00282CE5">
                  <w:pPr>
                    <w:jc w:val="both"/>
                    <w:rPr>
                      <w:rFonts w:asciiTheme="majorHAnsi" w:hAnsiTheme="majorHAnsi"/>
                    </w:rPr>
                  </w:pPr>
                  <w:r w:rsidRPr="00282CE5">
                    <w:rPr>
                      <w:rFonts w:asciiTheme="majorHAnsi" w:hAnsiTheme="majorHAnsi"/>
                    </w:rPr>
                    <w:t>Dieser Versuch ist als SuS-Versuch gut geeignet, weil sie ohne giftige Chemikalien arbeiten können. Durch diesen Versuch wird eine hohe Alltagsrelevanz geschaffen, da jeder SuS sicher schon einen braunwerdenden Apfel beobachtet hat und nun weiß, wie er diese Bräune hinauszögern kann.</w:t>
                  </w:r>
                </w:p>
                <w:p w:rsidR="00282CE5" w:rsidRPr="00282CE5" w:rsidRDefault="00282CE5" w:rsidP="00282CE5">
                  <w:pPr>
                    <w:jc w:val="both"/>
                    <w:rPr>
                      <w:rFonts w:asciiTheme="majorHAnsi" w:hAnsiTheme="majorHAnsi"/>
                    </w:rPr>
                  </w:pPr>
                  <w:r w:rsidRPr="00282CE5">
                    <w:rPr>
                      <w:rFonts w:asciiTheme="majorHAnsi" w:hAnsiTheme="majorHAnsi"/>
                    </w:rPr>
                    <w:t>Außerdem kann auf die verschiedenen Konservierungsmittel eingegangen werden, mit denen viele Lebensmittel versetzt werden.</w:t>
                  </w:r>
                </w:p>
                <w:p w:rsidR="00282CE5" w:rsidRPr="00282CE5" w:rsidRDefault="00282CE5" w:rsidP="00282CE5">
                  <w:pPr>
                    <w:jc w:val="both"/>
                    <w:rPr>
                      <w:rFonts w:asciiTheme="majorHAnsi" w:hAnsiTheme="majorHAnsi"/>
                    </w:rPr>
                  </w:pPr>
                  <w:r w:rsidRPr="00282CE5">
                    <w:rPr>
                      <w:rFonts w:asciiTheme="majorHAnsi" w:hAnsiTheme="majorHAnsi"/>
                    </w:rPr>
                    <w:t>Zur didaktischen Reduktion können die komplizierten Mechanismen zur Oxidation der oberen Stoffe in der Deutung vernachlässigt werden, weil sie nicht das Hauptthema des Versuches sind. Im Vordergrund sollte das Phänomen des Antioxidationsmittels Ascorbinsäure stehen.</w:t>
                  </w:r>
                </w:p>
              </w:txbxContent>
            </v:textbox>
            <w10:wrap type="none"/>
            <w10:anchorlock/>
          </v:shape>
        </w:pict>
      </w:r>
    </w:p>
    <w:p w:rsidR="0043384F" w:rsidRPr="00282CE5" w:rsidRDefault="00725A14" w:rsidP="00282CE5"/>
    <w:sectPr w:rsidR="0043384F" w:rsidRPr="00282CE5" w:rsidSect="001A2281">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5A14" w:rsidRDefault="00725A14" w:rsidP="000B77F4">
      <w:pPr>
        <w:spacing w:line="240" w:lineRule="auto"/>
      </w:pPr>
      <w:r>
        <w:separator/>
      </w:r>
    </w:p>
  </w:endnote>
  <w:endnote w:type="continuationSeparator" w:id="0">
    <w:p w:rsidR="00725A14" w:rsidRDefault="00725A14" w:rsidP="000B77F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39A" w:rsidRDefault="0070439A">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39A" w:rsidRDefault="0070439A">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39A" w:rsidRDefault="0070439A">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5A14" w:rsidRDefault="00725A14" w:rsidP="000B77F4">
      <w:pPr>
        <w:spacing w:line="240" w:lineRule="auto"/>
      </w:pPr>
      <w:r>
        <w:separator/>
      </w:r>
    </w:p>
  </w:footnote>
  <w:footnote w:type="continuationSeparator" w:id="0">
    <w:p w:rsidR="00725A14" w:rsidRDefault="00725A14" w:rsidP="000B77F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39A" w:rsidRDefault="0070439A">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rPr>
      <w:id w:val="84343485"/>
      <w:docPartObj>
        <w:docPartGallery w:val="Page Numbers (Top of Page)"/>
        <w:docPartUnique/>
      </w:docPartObj>
    </w:sdtPr>
    <w:sdtContent>
      <w:p w:rsidR="000B77F4" w:rsidRPr="0070439A" w:rsidRDefault="00814C93" w:rsidP="000B77F4">
        <w:pPr>
          <w:pStyle w:val="Kopfzeile"/>
          <w:rPr>
            <w:rFonts w:asciiTheme="majorHAnsi" w:hAnsiTheme="majorHAnsi"/>
          </w:rPr>
        </w:pPr>
        <w:r w:rsidRPr="0070439A">
          <w:rPr>
            <w:rFonts w:asciiTheme="majorHAnsi" w:hAnsiTheme="majorHAnsi"/>
          </w:rPr>
          <w:t xml:space="preserve">V </w:t>
        </w:r>
        <w:r w:rsidR="00282CE5" w:rsidRPr="0070439A">
          <w:rPr>
            <w:rFonts w:asciiTheme="majorHAnsi" w:hAnsiTheme="majorHAnsi"/>
          </w:rPr>
          <w:t>3</w:t>
        </w:r>
        <w:r w:rsidR="000B77F4" w:rsidRPr="0070439A">
          <w:rPr>
            <w:rFonts w:asciiTheme="majorHAnsi" w:hAnsiTheme="majorHAnsi"/>
          </w:rPr>
          <w:t xml:space="preserve"> – </w:t>
        </w:r>
        <w:r w:rsidR="00282CE5" w:rsidRPr="0070439A">
          <w:rPr>
            <w:rFonts w:asciiTheme="majorHAnsi" w:hAnsiTheme="majorHAnsi"/>
          </w:rPr>
          <w:t>Ascorbinsäure zur Konservierung</w:t>
        </w:r>
        <w:r w:rsidR="000B77F4" w:rsidRPr="0070439A">
          <w:rPr>
            <w:rFonts w:asciiTheme="majorHAnsi" w:hAnsiTheme="majorHAnsi"/>
          </w:rPr>
          <w:tab/>
        </w:r>
        <w:r w:rsidR="000B77F4" w:rsidRPr="0070439A">
          <w:rPr>
            <w:rFonts w:asciiTheme="majorHAnsi" w:hAnsiTheme="majorHAnsi"/>
          </w:rPr>
          <w:tab/>
          <w:t xml:space="preserve"> </w:t>
        </w:r>
        <w:r w:rsidR="00FA3E63" w:rsidRPr="0070439A">
          <w:rPr>
            <w:rFonts w:asciiTheme="majorHAnsi" w:hAnsiTheme="majorHAnsi"/>
          </w:rPr>
          <w:fldChar w:fldCharType="begin"/>
        </w:r>
        <w:r w:rsidR="00E80CFA" w:rsidRPr="0070439A">
          <w:rPr>
            <w:rFonts w:asciiTheme="majorHAnsi" w:hAnsiTheme="majorHAnsi"/>
          </w:rPr>
          <w:instrText xml:space="preserve"> PAGE   \* MERGEFORMAT </w:instrText>
        </w:r>
        <w:r w:rsidR="00FA3E63" w:rsidRPr="0070439A">
          <w:rPr>
            <w:rFonts w:asciiTheme="majorHAnsi" w:hAnsiTheme="majorHAnsi"/>
          </w:rPr>
          <w:fldChar w:fldCharType="separate"/>
        </w:r>
        <w:r w:rsidR="000A1440">
          <w:rPr>
            <w:rFonts w:asciiTheme="majorHAnsi" w:hAnsiTheme="majorHAnsi"/>
            <w:noProof/>
          </w:rPr>
          <w:t>2</w:t>
        </w:r>
        <w:r w:rsidR="00FA3E63" w:rsidRPr="0070439A">
          <w:rPr>
            <w:rFonts w:asciiTheme="majorHAnsi" w:hAnsiTheme="majorHAnsi"/>
          </w:rPr>
          <w:fldChar w:fldCharType="end"/>
        </w:r>
      </w:p>
    </w:sdtContent>
  </w:sdt>
  <w:p w:rsidR="000B77F4" w:rsidRPr="0070439A" w:rsidRDefault="00FA3E63">
    <w:pPr>
      <w:pStyle w:val="Kopfzeile"/>
      <w:rPr>
        <w:rFonts w:asciiTheme="majorHAnsi" w:hAnsiTheme="majorHAnsi"/>
      </w:rPr>
    </w:pPr>
    <w:r>
      <w:rPr>
        <w:rFonts w:asciiTheme="majorHAnsi" w:hAnsiTheme="majorHAnsi"/>
      </w:rPr>
      <w:pict>
        <v:shapetype id="_x0000_t32" coordsize="21600,21600" o:spt="32" o:oned="t" path="m,l21600,21600e" filled="f">
          <v:path arrowok="t" fillok="f" o:connecttype="none"/>
          <o:lock v:ext="edit" shapetype="t"/>
        </v:shapetype>
        <v:shape id="_x0000_s2050" type="#_x0000_t32" style="position:absolute;margin-left:-3.35pt;margin-top:3.05pt;width:462pt;height:.05pt;flip:x;z-index:251660288" o:connectortype="straigh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39A" w:rsidRDefault="0070439A">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A377D4"/>
    <w:multiLevelType w:val="hybridMultilevel"/>
    <w:tmpl w:val="D18A4DA2"/>
    <w:lvl w:ilvl="0" w:tplc="976484A2">
      <w:start w:val="1"/>
      <w:numFmt w:val="decimal"/>
      <w:lvlText w:val="%1."/>
      <w:lvlJc w:val="left"/>
      <w:pPr>
        <w:ind w:left="1770" w:hanging="360"/>
      </w:pPr>
      <w:rPr>
        <w:rFonts w:hint="default"/>
      </w:rPr>
    </w:lvl>
    <w:lvl w:ilvl="1" w:tplc="04070019" w:tentative="1">
      <w:start w:val="1"/>
      <w:numFmt w:val="lowerLetter"/>
      <w:lvlText w:val="%2."/>
      <w:lvlJc w:val="left"/>
      <w:pPr>
        <w:ind w:left="2490" w:hanging="360"/>
      </w:pPr>
    </w:lvl>
    <w:lvl w:ilvl="2" w:tplc="0407001B" w:tentative="1">
      <w:start w:val="1"/>
      <w:numFmt w:val="lowerRoman"/>
      <w:lvlText w:val="%3."/>
      <w:lvlJc w:val="right"/>
      <w:pPr>
        <w:ind w:left="3210" w:hanging="180"/>
      </w:pPr>
    </w:lvl>
    <w:lvl w:ilvl="3" w:tplc="0407000F" w:tentative="1">
      <w:start w:val="1"/>
      <w:numFmt w:val="decimal"/>
      <w:lvlText w:val="%4."/>
      <w:lvlJc w:val="left"/>
      <w:pPr>
        <w:ind w:left="3930" w:hanging="360"/>
      </w:pPr>
    </w:lvl>
    <w:lvl w:ilvl="4" w:tplc="04070019" w:tentative="1">
      <w:start w:val="1"/>
      <w:numFmt w:val="lowerLetter"/>
      <w:lvlText w:val="%5."/>
      <w:lvlJc w:val="left"/>
      <w:pPr>
        <w:ind w:left="4650" w:hanging="360"/>
      </w:pPr>
    </w:lvl>
    <w:lvl w:ilvl="5" w:tplc="0407001B" w:tentative="1">
      <w:start w:val="1"/>
      <w:numFmt w:val="lowerRoman"/>
      <w:lvlText w:val="%6."/>
      <w:lvlJc w:val="right"/>
      <w:pPr>
        <w:ind w:left="5370" w:hanging="180"/>
      </w:pPr>
    </w:lvl>
    <w:lvl w:ilvl="6" w:tplc="0407000F" w:tentative="1">
      <w:start w:val="1"/>
      <w:numFmt w:val="decimal"/>
      <w:lvlText w:val="%7."/>
      <w:lvlJc w:val="left"/>
      <w:pPr>
        <w:ind w:left="6090" w:hanging="360"/>
      </w:pPr>
    </w:lvl>
    <w:lvl w:ilvl="7" w:tplc="04070019" w:tentative="1">
      <w:start w:val="1"/>
      <w:numFmt w:val="lowerLetter"/>
      <w:lvlText w:val="%8."/>
      <w:lvlJc w:val="left"/>
      <w:pPr>
        <w:ind w:left="6810" w:hanging="360"/>
      </w:pPr>
    </w:lvl>
    <w:lvl w:ilvl="8" w:tplc="0407001B" w:tentative="1">
      <w:start w:val="1"/>
      <w:numFmt w:val="lowerRoman"/>
      <w:lvlText w:val="%9."/>
      <w:lvlJc w:val="right"/>
      <w:pPr>
        <w:ind w:left="753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70"/>
    <o:shapelayout v:ext="edit">
      <o:idmap v:ext="edit" data="2"/>
      <o:rules v:ext="edit">
        <o:r id="V:Rule2" type="connector" idref="#_x0000_s2050"/>
      </o:rules>
    </o:shapelayout>
  </w:hdrShapeDefaults>
  <w:footnotePr>
    <w:footnote w:id="-1"/>
    <w:footnote w:id="0"/>
  </w:footnotePr>
  <w:endnotePr>
    <w:endnote w:id="-1"/>
    <w:endnote w:id="0"/>
  </w:endnotePr>
  <w:compat/>
  <w:rsids>
    <w:rsidRoot w:val="000B77F4"/>
    <w:rsid w:val="000A1440"/>
    <w:rsid w:val="000B77F4"/>
    <w:rsid w:val="001461C9"/>
    <w:rsid w:val="001A2281"/>
    <w:rsid w:val="00282CE5"/>
    <w:rsid w:val="002E1808"/>
    <w:rsid w:val="005353E1"/>
    <w:rsid w:val="005A32BD"/>
    <w:rsid w:val="006C32AC"/>
    <w:rsid w:val="0070439A"/>
    <w:rsid w:val="00717138"/>
    <w:rsid w:val="00725A14"/>
    <w:rsid w:val="00814C93"/>
    <w:rsid w:val="008F1F3C"/>
    <w:rsid w:val="009C761D"/>
    <w:rsid w:val="00E80CFA"/>
    <w:rsid w:val="00F853BB"/>
    <w:rsid w:val="00FA3E6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A2281"/>
  </w:style>
  <w:style w:type="paragraph" w:styleId="berschrift1">
    <w:name w:val="heading 1"/>
    <w:basedOn w:val="Standard"/>
    <w:next w:val="Standard"/>
    <w:link w:val="berschrift1Zchn"/>
    <w:uiPriority w:val="9"/>
    <w:rsid w:val="00F853BB"/>
    <w:pPr>
      <w:keepNext/>
      <w:outlineLvl w:val="0"/>
    </w:pPr>
    <w:rPr>
      <w:rFonts w:ascii="Arial" w:eastAsiaTheme="majorEastAsia" w:hAnsi="Arial" w:cstheme="majorBidi"/>
      <w:b/>
      <w:bCs/>
      <w:kern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853BB"/>
    <w:rPr>
      <w:rFonts w:ascii="Arial" w:eastAsiaTheme="majorEastAsia" w:hAnsi="Arial" w:cstheme="majorBidi"/>
      <w:b/>
      <w:bCs/>
      <w:kern w:val="32"/>
      <w:sz w:val="22"/>
      <w:szCs w:val="32"/>
      <w:lang w:eastAsia="en-US"/>
    </w:rPr>
  </w:style>
  <w:style w:type="table" w:styleId="Tabellengitternetz">
    <w:name w:val="Table Grid"/>
    <w:basedOn w:val="NormaleTabelle"/>
    <w:uiPriority w:val="59"/>
    <w:rsid w:val="000B77F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0B77F4"/>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77F4"/>
    <w:rPr>
      <w:rFonts w:ascii="Tahoma" w:hAnsi="Tahoma" w:cs="Tahoma"/>
      <w:sz w:val="16"/>
      <w:szCs w:val="16"/>
    </w:rPr>
  </w:style>
  <w:style w:type="paragraph" w:styleId="Kopfzeile">
    <w:name w:val="header"/>
    <w:basedOn w:val="Standard"/>
    <w:link w:val="KopfzeileZchn"/>
    <w:uiPriority w:val="99"/>
    <w:semiHidden/>
    <w:unhideWhenUsed/>
    <w:rsid w:val="000B77F4"/>
    <w:pPr>
      <w:tabs>
        <w:tab w:val="center" w:pos="4536"/>
        <w:tab w:val="right" w:pos="9072"/>
      </w:tabs>
      <w:spacing w:line="240" w:lineRule="auto"/>
    </w:pPr>
  </w:style>
  <w:style w:type="character" w:customStyle="1" w:styleId="KopfzeileZchn">
    <w:name w:val="Kopfzeile Zchn"/>
    <w:basedOn w:val="Absatz-Standardschriftart"/>
    <w:link w:val="Kopfzeile"/>
    <w:uiPriority w:val="99"/>
    <w:semiHidden/>
    <w:rsid w:val="000B77F4"/>
  </w:style>
  <w:style w:type="paragraph" w:styleId="Fuzeile">
    <w:name w:val="footer"/>
    <w:basedOn w:val="Standard"/>
    <w:link w:val="FuzeileZchn"/>
    <w:uiPriority w:val="99"/>
    <w:semiHidden/>
    <w:unhideWhenUsed/>
    <w:rsid w:val="000B77F4"/>
    <w:pPr>
      <w:tabs>
        <w:tab w:val="center" w:pos="4536"/>
        <w:tab w:val="right" w:pos="9072"/>
      </w:tabs>
      <w:spacing w:line="240" w:lineRule="auto"/>
    </w:pPr>
  </w:style>
  <w:style w:type="character" w:customStyle="1" w:styleId="FuzeileZchn">
    <w:name w:val="Fußzeile Zchn"/>
    <w:basedOn w:val="Absatz-Standardschriftart"/>
    <w:link w:val="Fuzeile"/>
    <w:uiPriority w:val="99"/>
    <w:semiHidden/>
    <w:rsid w:val="000B77F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197</Words>
  <Characters>1245</Characters>
  <Application>Microsoft Office Word</Application>
  <DocSecurity>0</DocSecurity>
  <Lines>10</Lines>
  <Paragraphs>2</Paragraphs>
  <ScaleCrop>false</ScaleCrop>
  <Company/>
  <LinksUpToDate>false</LinksUpToDate>
  <CharactersWithSpaces>1440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6</cp:revision>
  <dcterms:created xsi:type="dcterms:W3CDTF">2013-08-12T15:37:00Z</dcterms:created>
  <dcterms:modified xsi:type="dcterms:W3CDTF">2013-08-12T16:12:00Z</dcterms:modified>
</cp:coreProperties>
</file>