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C26" w:rsidRDefault="00262D27" w:rsidP="00767C26">
      <w:pPr>
        <w:pStyle w:val="berschrift1"/>
        <w:numPr>
          <w:ilvl w:val="0"/>
          <w:numId w:val="0"/>
        </w:numPr>
        <w:ind w:left="431" w:hanging="431"/>
      </w:pPr>
      <w:bookmarkStart w:id="0" w:name="_Toc337149081"/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4.6pt;margin-top:52.75pt;width:462.45pt;height:55.9pt;z-index:251658240;mso-width-relative:margin;mso-height-relative:margin" fillcolor="white [3201]" strokecolor="#4bacc6 [3208]" strokeweight="1pt">
            <v:stroke dashstyle="dash"/>
            <v:shadow color="#868686"/>
            <v:textbox style="mso-next-textbox:#_x0000_s1029">
              <w:txbxContent>
                <w:p w:rsidR="00714521" w:rsidRDefault="00714521" w:rsidP="00714521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Der Tyndalleffekt weist die </w:t>
                  </w:r>
                  <w:proofErr w:type="spellStart"/>
                  <w:r>
                    <w:rPr>
                      <w:color w:val="auto"/>
                    </w:rPr>
                    <w:t>Micellen</w:t>
                  </w:r>
                  <w:proofErr w:type="spellEnd"/>
                  <w:r>
                    <w:rPr>
                      <w:color w:val="auto"/>
                    </w:rPr>
                    <w:t xml:space="preserve"> in der Seifenlösung nach. </w:t>
                  </w:r>
                </w:p>
                <w:p w:rsidR="00714521" w:rsidRPr="00B607A1" w:rsidRDefault="00714521" w:rsidP="00714521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Den </w:t>
                  </w:r>
                  <w:proofErr w:type="spellStart"/>
                  <w:r>
                    <w:rPr>
                      <w:color w:val="auto"/>
                    </w:rPr>
                    <w:t>SuS</w:t>
                  </w:r>
                  <w:proofErr w:type="spellEnd"/>
                  <w:r>
                    <w:rPr>
                      <w:color w:val="auto"/>
                    </w:rPr>
                    <w:t xml:space="preserve"> muss Lichtstreuung an Partikeln bekannt sein. </w:t>
                  </w:r>
                </w:p>
              </w:txbxContent>
            </v:textbox>
            <w10:wrap type="square"/>
          </v:shape>
        </w:pict>
      </w:r>
      <w:r w:rsidR="00767C26">
        <w:t xml:space="preserve">V4  – </w:t>
      </w:r>
      <w:bookmarkEnd w:id="0"/>
      <w:r w:rsidR="00714521">
        <w:t>Tyndalleffekt</w:t>
      </w:r>
    </w:p>
    <w:p w:rsidR="00714521" w:rsidRDefault="00714521" w:rsidP="00714521"/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714521" w:rsidRPr="009C5E28" w:rsidTr="009E2B2F">
        <w:tc>
          <w:tcPr>
            <w:tcW w:w="9322" w:type="dxa"/>
            <w:gridSpan w:val="9"/>
            <w:shd w:val="clear" w:color="auto" w:fill="4F81BD"/>
            <w:vAlign w:val="center"/>
          </w:tcPr>
          <w:p w:rsidR="00714521" w:rsidRPr="00714521" w:rsidRDefault="00714521" w:rsidP="009E2B2F">
            <w:pPr>
              <w:spacing w:after="0"/>
              <w:jc w:val="center"/>
              <w:rPr>
                <w:b/>
                <w:bCs/>
              </w:rPr>
            </w:pPr>
            <w:r w:rsidRPr="00714521">
              <w:rPr>
                <w:b/>
                <w:bCs/>
              </w:rPr>
              <w:t>Gefahrenstoffe</w:t>
            </w:r>
          </w:p>
        </w:tc>
      </w:tr>
      <w:tr w:rsidR="00714521" w:rsidRPr="009C5E28" w:rsidTr="009E2B2F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14521" w:rsidRPr="00714521" w:rsidRDefault="00714521" w:rsidP="009E2B2F">
            <w:pPr>
              <w:spacing w:after="0" w:line="276" w:lineRule="auto"/>
              <w:jc w:val="center"/>
              <w:rPr>
                <w:b/>
                <w:bCs/>
              </w:rPr>
            </w:pPr>
            <w:r w:rsidRPr="00714521">
              <w:t>Seifenlösung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14521" w:rsidRPr="00714521" w:rsidRDefault="00714521" w:rsidP="009E2B2F">
            <w:pPr>
              <w:spacing w:after="0"/>
              <w:jc w:val="center"/>
            </w:pPr>
            <w:r w:rsidRPr="00714521">
              <w:t>keine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714521" w:rsidRPr="00714521" w:rsidRDefault="00714521" w:rsidP="009E2B2F">
            <w:pPr>
              <w:spacing w:after="0"/>
              <w:jc w:val="center"/>
            </w:pPr>
            <w:r w:rsidRPr="00714521">
              <w:t>keine</w:t>
            </w:r>
          </w:p>
        </w:tc>
      </w:tr>
      <w:tr w:rsidR="00714521" w:rsidRPr="009C5E28" w:rsidTr="009E2B2F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14521" w:rsidRPr="00714521" w:rsidRDefault="00714521" w:rsidP="009E2B2F">
            <w:pPr>
              <w:spacing w:after="0" w:line="276" w:lineRule="auto"/>
              <w:jc w:val="center"/>
            </w:pPr>
            <w:r w:rsidRPr="00714521">
              <w:t>Gesättigte Kochsalzlösung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14521" w:rsidRPr="00714521" w:rsidRDefault="00714521" w:rsidP="009E2B2F">
            <w:pPr>
              <w:spacing w:after="0"/>
              <w:jc w:val="center"/>
            </w:pPr>
            <w:r w:rsidRPr="00714521">
              <w:t>keine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714521" w:rsidRPr="00714521" w:rsidRDefault="00714521" w:rsidP="009E2B2F">
            <w:pPr>
              <w:spacing w:after="0"/>
              <w:jc w:val="center"/>
            </w:pPr>
            <w:r w:rsidRPr="00714521">
              <w:t>keine</w:t>
            </w:r>
          </w:p>
        </w:tc>
      </w:tr>
      <w:tr w:rsidR="00714521" w:rsidRPr="009C5E28" w:rsidTr="009E2B2F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14521" w:rsidRPr="009C5E28" w:rsidRDefault="00714521" w:rsidP="009E2B2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113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14521" w:rsidRPr="009C5E28" w:rsidRDefault="00714521" w:rsidP="009E2B2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114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14521" w:rsidRPr="009C5E28" w:rsidRDefault="00714521" w:rsidP="009E2B2F">
            <w:pPr>
              <w:spacing w:after="0"/>
              <w:jc w:val="center"/>
            </w:pPr>
            <w:r w:rsidRPr="006669A7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115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14521" w:rsidRPr="009C5E28" w:rsidRDefault="00714521" w:rsidP="009E2B2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16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14521" w:rsidRPr="009C5E28" w:rsidRDefault="00714521" w:rsidP="009E2B2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32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14521" w:rsidRPr="009C5E28" w:rsidRDefault="00714521" w:rsidP="009E2B2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33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14521" w:rsidRPr="009C5E28" w:rsidRDefault="00714521" w:rsidP="009E2B2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34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14521" w:rsidRPr="009C5E28" w:rsidRDefault="00714521" w:rsidP="009E2B2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11175" cy="511175"/>
                  <wp:effectExtent l="19050" t="0" r="3175" b="0"/>
                  <wp:docPr id="135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714521" w:rsidRPr="009C5E28" w:rsidRDefault="00714521" w:rsidP="009E2B2F">
            <w:pPr>
              <w:spacing w:after="0"/>
              <w:jc w:val="center"/>
            </w:pPr>
            <w:r>
              <w:object w:dxaOrig="2985" w:dyaOrig="3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1pt;height:42.8pt" o:ole="">
                  <v:imagedata r:id="rId16" o:title=""/>
                </v:shape>
                <o:OLEObject Type="Embed" ProgID="PBrush" ShapeID="_x0000_i1025" DrawAspect="Content" ObjectID="_1438066826" r:id="rId17"/>
              </w:object>
            </w:r>
          </w:p>
        </w:tc>
      </w:tr>
    </w:tbl>
    <w:p w:rsidR="00714521" w:rsidRDefault="00714521" w:rsidP="00714521">
      <w:pPr>
        <w:tabs>
          <w:tab w:val="left" w:pos="1701"/>
          <w:tab w:val="left" w:pos="1985"/>
        </w:tabs>
        <w:ind w:left="1980" w:hanging="1980"/>
      </w:pPr>
    </w:p>
    <w:p w:rsidR="00714521" w:rsidRDefault="00714521" w:rsidP="00714521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>2 Bechergläser, Laser</w:t>
      </w:r>
    </w:p>
    <w:p w:rsidR="00714521" w:rsidRPr="00ED07C2" w:rsidRDefault="00714521" w:rsidP="00714521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>Seifenlösung, gesättigte Kochsalzlösung</w:t>
      </w:r>
    </w:p>
    <w:p w:rsidR="00714521" w:rsidRDefault="00714521" w:rsidP="00714521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  <w:t>Eine Seifenlösung wird in ein Becherglas und eine gesättigte Kochsalzl</w:t>
      </w:r>
      <w:r>
        <w:t>ö</w:t>
      </w:r>
      <w:r>
        <w:t>sung in ein anderes Becherglas gegeben. Ein Laserstrahl wird durch die Lösungen gestrahlt.</w:t>
      </w:r>
    </w:p>
    <w:p w:rsidR="00714521" w:rsidRDefault="00714521" w:rsidP="00714521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  <w:t>Der Weg des Laserlichts ist in der Seifenlösung sichtbar und in der Koc</w:t>
      </w:r>
      <w:r>
        <w:t>h</w:t>
      </w:r>
      <w:r>
        <w:t xml:space="preserve">salzlösung nicht. </w:t>
      </w:r>
    </w:p>
    <w:p w:rsidR="00714521" w:rsidRDefault="00714521" w:rsidP="00714521">
      <w:pPr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drawing>
          <wp:inline distT="0" distB="0" distL="0" distR="0">
            <wp:extent cx="2533650" cy="1295643"/>
            <wp:effectExtent l="19050" t="0" r="0" b="0"/>
            <wp:docPr id="2" name="Grafik 1" descr="Brausetabele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usetabelett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8156" cy="130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3016136" cy="1293960"/>
            <wp:effectExtent l="19050" t="0" r="0" b="0"/>
            <wp:docPr id="40" name="Grafik 39" descr="Tyndaleffe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ndaleffekt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3393" cy="129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521" w:rsidRPr="00714521" w:rsidRDefault="00714521" w:rsidP="00714521">
      <w:pPr>
        <w:pStyle w:val="Beschriftung"/>
        <w:jc w:val="center"/>
        <w:rPr>
          <w:b w:val="0"/>
        </w:rPr>
      </w:pPr>
      <w:r w:rsidRPr="00714521">
        <w:rPr>
          <w:b w:val="0"/>
        </w:rPr>
        <w:t xml:space="preserve">Abb. 4 - </w:t>
      </w:r>
      <w:r w:rsidRPr="00714521">
        <w:rPr>
          <w:b w:val="0"/>
          <w:noProof/>
        </w:rPr>
        <w:t xml:space="preserve"> Lichtstrahl durch Seifenlösung (links) und Kochsalzlösung (rechts).</w:t>
      </w:r>
    </w:p>
    <w:p w:rsidR="00714521" w:rsidRDefault="00714521" w:rsidP="00714521">
      <w:pPr>
        <w:tabs>
          <w:tab w:val="left" w:pos="1701"/>
          <w:tab w:val="left" w:pos="1985"/>
        </w:tabs>
        <w:ind w:left="1980" w:hanging="1980"/>
      </w:pPr>
      <w:r>
        <w:t>Deutung:</w:t>
      </w:r>
      <w:r>
        <w:tab/>
      </w:r>
      <w:r>
        <w:tab/>
      </w:r>
      <w:r>
        <w:tab/>
        <w:t xml:space="preserve">In der Seifenlösung befinden sich im Gegensatz zur Kochsalzlösung </w:t>
      </w:r>
      <w:proofErr w:type="spellStart"/>
      <w:r>
        <w:t>Micellen</w:t>
      </w:r>
      <w:proofErr w:type="spellEnd"/>
      <w:r>
        <w:t xml:space="preserve">, an denen das </w:t>
      </w:r>
      <w:proofErr w:type="spellStart"/>
      <w:r>
        <w:t>Laserlicht</w:t>
      </w:r>
      <w:proofErr w:type="spellEnd"/>
      <w:r>
        <w:t xml:space="preserve"> gestreut wird.</w:t>
      </w:r>
    </w:p>
    <w:p w:rsidR="00714521" w:rsidRDefault="00714521" w:rsidP="00714521">
      <w:pPr>
        <w:tabs>
          <w:tab w:val="left" w:pos="1701"/>
          <w:tab w:val="left" w:pos="1985"/>
        </w:tabs>
        <w:ind w:left="1980" w:hanging="1980"/>
      </w:pPr>
      <w:r>
        <w:t>Entsorgung:</w:t>
      </w:r>
      <w:r>
        <w:tab/>
      </w:r>
      <w:r>
        <w:tab/>
      </w:r>
      <w:r>
        <w:tab/>
        <w:t>Die Lösungen können im Abfluss entsorgt werden.</w:t>
      </w:r>
    </w:p>
    <w:p w:rsidR="00714521" w:rsidRPr="006E32AF" w:rsidRDefault="00714521" w:rsidP="00714521">
      <w:pPr>
        <w:tabs>
          <w:tab w:val="left" w:pos="1701"/>
          <w:tab w:val="left" w:pos="1985"/>
        </w:tabs>
        <w:ind w:left="1980" w:hanging="1980"/>
        <w:rPr>
          <w:rFonts w:eastAsiaTheme="minorEastAsia"/>
        </w:rPr>
      </w:pPr>
      <w:r>
        <w:lastRenderedPageBreak/>
        <w:t>Literatur:</w:t>
      </w:r>
      <w:r>
        <w:tab/>
      </w:r>
      <w:r>
        <w:tab/>
        <w:t xml:space="preserve">[4] Uni Jena, </w:t>
      </w:r>
      <w:hyperlink r:id="rId20" w:history="1">
        <w:r>
          <w:rPr>
            <w:rStyle w:val="Hyperlink"/>
          </w:rPr>
          <w:t>http://www.nat-working.uni-jena.de/pdf/Thema_Seifen_%20Waschmittel.pdf</w:t>
        </w:r>
      </w:hyperlink>
      <w:r>
        <w:t xml:space="preserve"> (Zuletzt abgerufen am 09.08.2013 um 11:03 Uhr).</w:t>
      </w:r>
    </w:p>
    <w:p w:rsidR="00BE6DD9" w:rsidRPr="00767C26" w:rsidRDefault="00BE6DD9" w:rsidP="00767C26">
      <w:pPr>
        <w:spacing w:line="276" w:lineRule="auto"/>
        <w:jc w:val="left"/>
      </w:pPr>
    </w:p>
    <w:sectPr w:rsidR="00BE6DD9" w:rsidRPr="00767C26" w:rsidSect="00105256">
      <w:headerReference w:type="default" r:id="rId21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7EA1" w:rsidRDefault="00DE7EA1" w:rsidP="009524CC">
      <w:pPr>
        <w:spacing w:after="0"/>
      </w:pPr>
      <w:r>
        <w:separator/>
      </w:r>
    </w:p>
  </w:endnote>
  <w:endnote w:type="continuationSeparator" w:id="0">
    <w:p w:rsidR="00DE7EA1" w:rsidRDefault="00DE7EA1" w:rsidP="009524C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7EA1" w:rsidRDefault="00DE7EA1" w:rsidP="009524CC">
      <w:pPr>
        <w:spacing w:after="0"/>
      </w:pPr>
      <w:r>
        <w:separator/>
      </w:r>
    </w:p>
  </w:footnote>
  <w:footnote w:type="continuationSeparator" w:id="0">
    <w:p w:rsidR="00DE7EA1" w:rsidRDefault="00DE7EA1" w:rsidP="009524C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ook w:val="04A0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262D27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fldSimple w:instr=" STYLEREF  &quot;Überschrift 1&quot;  \* MERGEFORMAT ">
            <w:r w:rsidR="000E096F" w:rsidRPr="000E096F">
              <w:rPr>
                <w:b/>
                <w:bCs/>
                <w:noProof/>
                <w:sz w:val="20"/>
                <w:szCs w:val="20"/>
              </w:rPr>
              <w:t>V4  – Tyndalleffekt</w:t>
            </w:r>
          </w:fldSimple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262D27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="00501F12"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0E096F">
            <w:rPr>
              <w:noProof/>
              <w:sz w:val="20"/>
              <w:szCs w:val="20"/>
            </w:rPr>
            <w:t>2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6E0F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096F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A06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2D27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192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7E0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521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26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089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45D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59C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330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383E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40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E7EA1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6BC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AnfhrungszeichenZchn">
    <w:name w:val="Anführungszeichen Zchn"/>
    <w:link w:val="Anfhrungszeichen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AnfhrungszeichenZchn">
    <w:name w:val="Intensives Anführungszeichen Zchn"/>
    <w:link w:val="IntensivesAnfhrungszeichen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gitternetz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nat-working.uni-jena.de/pdf/Thema_Seifen_%20Waschmittel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1A6BD-2CDC-4E07-B4E4-64F110D8B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MCM</cp:lastModifiedBy>
  <cp:revision>5</cp:revision>
  <cp:lastPrinted>2012-06-21T19:47:00Z</cp:lastPrinted>
  <dcterms:created xsi:type="dcterms:W3CDTF">2013-07-10T10:59:00Z</dcterms:created>
  <dcterms:modified xsi:type="dcterms:W3CDTF">2013-08-15T08:14:00Z</dcterms:modified>
</cp:coreProperties>
</file>