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520" w:rsidRDefault="00A54520" w:rsidP="00A54520">
      <w:pPr>
        <w:pStyle w:val="berschrift1"/>
        <w:numPr>
          <w:ilvl w:val="0"/>
          <w:numId w:val="0"/>
        </w:numPr>
        <w:ind w:left="432" w:hanging="432"/>
        <w:rPr>
          <w:color w:val="auto"/>
        </w:rPr>
      </w:pPr>
      <w:bookmarkStart w:id="0" w:name="_Toc427765696"/>
      <w:r>
        <w:rPr>
          <w:color w:val="auto"/>
        </w:rPr>
        <w:t>Eine spontan ablaufende endotherme Reaktion</w:t>
      </w:r>
      <w:bookmarkEnd w:id="0"/>
    </w:p>
    <w:p w:rsidR="00A54520" w:rsidRDefault="00A54520" w:rsidP="00A54520">
      <w:pPr>
        <w:tabs>
          <w:tab w:val="center" w:pos="4536"/>
        </w:tabs>
        <w:rPr>
          <w:color w:val="auto"/>
        </w:rPr>
      </w:pPr>
      <w:r>
        <w:pict>
          <v:shapetype id="_x0000_t202" coordsize="21600,21600" o:spt="202" path="m,l,21600r21600,l21600,xe">
            <v:stroke joinstyle="miter"/>
            <v:path gradientshapeok="t" o:connecttype="rect"/>
          </v:shapetype>
          <v:shape id="_x0000_s1027" type="#_x0000_t202" style="position:absolute;left:0;text-align:left;margin-left:-.05pt;margin-top:6.65pt;width:462.45pt;height:122.25pt;z-index:251658240;mso-width-relative:margin;mso-height-relative:margin" fillcolor="white [3201]" strokecolor="#4bacc6 [3208]" strokeweight="1pt">
            <v:stroke dashstyle="dash"/>
            <v:shadow color="#868686"/>
            <v:textbox style="mso-next-textbox:#_x0000_s1027">
              <w:txbxContent>
                <w:p w:rsidR="00A54520" w:rsidRDefault="00A54520" w:rsidP="00A54520">
                  <w:pPr>
                    <w:rPr>
                      <w:color w:val="auto"/>
                    </w:rPr>
                  </w:pPr>
                  <w:r>
                    <w:rPr>
                      <w:color w:val="auto"/>
                    </w:rPr>
                    <w:t xml:space="preserve">Dieser Versuch verdeutlicht sehr schön das Zusammenspiel zwischen Enthalpie und Entropie als Kriterium für den freiwilligen Ablauf einer chemischen Reaktion. Es wird vorausgesetzt, dass den </w:t>
                  </w:r>
                  <w:proofErr w:type="spellStart"/>
                  <w:r>
                    <w:rPr>
                      <w:color w:val="auto"/>
                    </w:rPr>
                    <w:t>SuS</w:t>
                  </w:r>
                  <w:proofErr w:type="spellEnd"/>
                  <w:r>
                    <w:rPr>
                      <w:color w:val="auto"/>
                    </w:rPr>
                    <w:t xml:space="preserve"> der Begriff der Enthalpie und daraus resultierend die Kennzeichen exothermer und endothermer Reaktionen bekannt sind, kann dieser Versuch genutzt werden, um den Begriff der Entropie einzuführen. Im Anschluss </w:t>
                  </w:r>
                  <w:proofErr w:type="gramStart"/>
                  <w:r>
                    <w:rPr>
                      <w:color w:val="auto"/>
                    </w:rPr>
                    <w:t>lassen</w:t>
                  </w:r>
                  <w:proofErr w:type="gramEnd"/>
                  <w:r>
                    <w:rPr>
                      <w:color w:val="auto"/>
                    </w:rPr>
                    <w:t xml:space="preserve"> sich die Gibbs-Helmholtz-Gleichung herleiten und die Termini </w:t>
                  </w:r>
                  <w:proofErr w:type="spellStart"/>
                  <w:r>
                    <w:rPr>
                      <w:color w:val="auto"/>
                    </w:rPr>
                    <w:t>exergonisch</w:t>
                  </w:r>
                  <w:proofErr w:type="spellEnd"/>
                  <w:r>
                    <w:rPr>
                      <w:color w:val="auto"/>
                    </w:rPr>
                    <w:t xml:space="preserve"> und </w:t>
                  </w:r>
                  <w:proofErr w:type="spellStart"/>
                  <w:r>
                    <w:rPr>
                      <w:color w:val="auto"/>
                    </w:rPr>
                    <w:t>endergonisch</w:t>
                  </w:r>
                  <w:proofErr w:type="spellEnd"/>
                  <w:r>
                    <w:rPr>
                      <w:color w:val="auto"/>
                    </w:rPr>
                    <w:t xml:space="preserve"> definieren.</w:t>
                  </w:r>
                </w:p>
              </w:txbxContent>
            </v:textbox>
            <w10:wrap type="square"/>
          </v:shape>
        </w:pict>
      </w:r>
    </w:p>
    <w:p w:rsidR="00A54520" w:rsidRDefault="00A54520" w:rsidP="00A54520">
      <w:pPr>
        <w:tabs>
          <w:tab w:val="center" w:pos="4536"/>
        </w:tabs>
        <w:rPr>
          <w:color w:val="auto"/>
        </w:rPr>
      </w:pPr>
    </w:p>
    <w:tbl>
      <w:tblPr>
        <w:tblW w:w="9315"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8"/>
        <w:gridCol w:w="1008"/>
        <w:gridCol w:w="1174"/>
        <w:gridCol w:w="992"/>
        <w:gridCol w:w="974"/>
        <w:gridCol w:w="1008"/>
        <w:gridCol w:w="1133"/>
      </w:tblGrid>
      <w:tr w:rsidR="00A54520" w:rsidTr="00A54520">
        <w:tc>
          <w:tcPr>
            <w:tcW w:w="9322" w:type="dxa"/>
            <w:gridSpan w:val="9"/>
            <w:tcBorders>
              <w:top w:val="single" w:sz="8" w:space="0" w:color="4F81BD"/>
              <w:left w:val="single" w:sz="8" w:space="0" w:color="4F81BD"/>
              <w:bottom w:val="nil"/>
              <w:right w:val="single" w:sz="8" w:space="0" w:color="4F81BD"/>
            </w:tcBorders>
            <w:shd w:val="clear" w:color="auto" w:fill="4F81BD"/>
            <w:vAlign w:val="center"/>
            <w:hideMark/>
          </w:tcPr>
          <w:p w:rsidR="00A54520" w:rsidRDefault="00A54520">
            <w:pPr>
              <w:spacing w:after="0"/>
              <w:jc w:val="center"/>
              <w:rPr>
                <w:b/>
                <w:bCs/>
              </w:rPr>
            </w:pPr>
            <w:r>
              <w:rPr>
                <w:b/>
                <w:bCs/>
              </w:rPr>
              <w:t>Gefahrenstoffe</w:t>
            </w:r>
          </w:p>
        </w:tc>
      </w:tr>
      <w:tr w:rsidR="00A54520" w:rsidTr="00A54520">
        <w:tc>
          <w:tcPr>
            <w:tcW w:w="3027" w:type="dxa"/>
            <w:gridSpan w:val="3"/>
            <w:tcBorders>
              <w:top w:val="single" w:sz="8" w:space="0" w:color="4F81BD"/>
              <w:left w:val="single" w:sz="8" w:space="0" w:color="4F81BD"/>
              <w:bottom w:val="single" w:sz="8" w:space="0" w:color="4F81BD"/>
              <w:right w:val="nil"/>
            </w:tcBorders>
            <w:vAlign w:val="center"/>
            <w:hideMark/>
          </w:tcPr>
          <w:p w:rsidR="00A54520" w:rsidRDefault="00A54520">
            <w:pPr>
              <w:spacing w:after="0"/>
              <w:rPr>
                <w:bCs/>
                <w:color w:val="auto"/>
                <w:szCs w:val="20"/>
              </w:rPr>
            </w:pPr>
            <w:proofErr w:type="spellStart"/>
            <w:r>
              <w:rPr>
                <w:bCs/>
                <w:color w:val="auto"/>
                <w:szCs w:val="20"/>
              </w:rPr>
              <w:t>Ammoniumthiocyanat</w:t>
            </w:r>
            <w:proofErr w:type="spellEnd"/>
          </w:p>
        </w:tc>
        <w:tc>
          <w:tcPr>
            <w:tcW w:w="3177" w:type="dxa"/>
            <w:gridSpan w:val="3"/>
            <w:tcBorders>
              <w:top w:val="single" w:sz="8" w:space="0" w:color="4F81BD"/>
              <w:left w:val="nil"/>
              <w:bottom w:val="single" w:sz="8" w:space="0" w:color="4F81BD"/>
              <w:right w:val="nil"/>
            </w:tcBorders>
            <w:vAlign w:val="center"/>
            <w:hideMark/>
          </w:tcPr>
          <w:p w:rsidR="00A54520" w:rsidRDefault="00A54520">
            <w:pPr>
              <w:spacing w:after="0"/>
              <w:rPr>
                <w:color w:val="auto"/>
                <w:szCs w:val="20"/>
              </w:rPr>
            </w:pPr>
            <w:r>
              <w:rPr>
                <w:color w:val="auto"/>
                <w:szCs w:val="20"/>
              </w:rPr>
              <w:t xml:space="preserve">  H:302+312+332-412</w:t>
            </w:r>
          </w:p>
        </w:tc>
        <w:tc>
          <w:tcPr>
            <w:tcW w:w="3118" w:type="dxa"/>
            <w:gridSpan w:val="3"/>
            <w:tcBorders>
              <w:top w:val="single" w:sz="8" w:space="0" w:color="4F81BD"/>
              <w:left w:val="nil"/>
              <w:bottom w:val="single" w:sz="8" w:space="0" w:color="4F81BD"/>
              <w:right w:val="single" w:sz="8" w:space="0" w:color="4F81BD"/>
            </w:tcBorders>
            <w:vAlign w:val="center"/>
            <w:hideMark/>
          </w:tcPr>
          <w:p w:rsidR="00A54520" w:rsidRDefault="00A54520">
            <w:pPr>
              <w:spacing w:after="0"/>
              <w:rPr>
                <w:color w:val="auto"/>
                <w:szCs w:val="20"/>
              </w:rPr>
            </w:pPr>
            <w:r>
              <w:rPr>
                <w:color w:val="auto"/>
                <w:szCs w:val="20"/>
              </w:rPr>
              <w:t>P:273-302+352</w:t>
            </w:r>
          </w:p>
        </w:tc>
      </w:tr>
      <w:tr w:rsidR="00A54520" w:rsidTr="00A54520">
        <w:tc>
          <w:tcPr>
            <w:tcW w:w="3027" w:type="dxa"/>
            <w:gridSpan w:val="3"/>
            <w:tcBorders>
              <w:top w:val="single" w:sz="8" w:space="0" w:color="4F81BD"/>
              <w:left w:val="single" w:sz="8" w:space="0" w:color="4F81BD"/>
              <w:bottom w:val="single" w:sz="8" w:space="0" w:color="4F81BD"/>
              <w:right w:val="nil"/>
            </w:tcBorders>
            <w:vAlign w:val="center"/>
            <w:hideMark/>
          </w:tcPr>
          <w:p w:rsidR="00A54520" w:rsidRDefault="00A54520">
            <w:pPr>
              <w:spacing w:after="0"/>
              <w:rPr>
                <w:bCs/>
                <w:color w:val="auto"/>
                <w:szCs w:val="20"/>
              </w:rPr>
            </w:pPr>
            <w:proofErr w:type="spellStart"/>
            <w:r>
              <w:rPr>
                <w:bCs/>
                <w:color w:val="auto"/>
                <w:szCs w:val="20"/>
              </w:rPr>
              <w:t>Bariumhydroxid-octahydrat</w:t>
            </w:r>
            <w:proofErr w:type="spellEnd"/>
          </w:p>
        </w:tc>
        <w:tc>
          <w:tcPr>
            <w:tcW w:w="3177" w:type="dxa"/>
            <w:gridSpan w:val="3"/>
            <w:tcBorders>
              <w:top w:val="single" w:sz="8" w:space="0" w:color="4F81BD"/>
              <w:left w:val="nil"/>
              <w:bottom w:val="single" w:sz="8" w:space="0" w:color="4F81BD"/>
              <w:right w:val="nil"/>
            </w:tcBorders>
            <w:vAlign w:val="center"/>
            <w:hideMark/>
          </w:tcPr>
          <w:p w:rsidR="00A54520" w:rsidRDefault="00A54520">
            <w:pPr>
              <w:spacing w:after="0"/>
              <w:rPr>
                <w:color w:val="auto"/>
                <w:szCs w:val="20"/>
              </w:rPr>
            </w:pPr>
            <w:r>
              <w:rPr>
                <w:color w:val="auto"/>
                <w:szCs w:val="20"/>
              </w:rPr>
              <w:t xml:space="preserve">  H:332-302-314</w:t>
            </w:r>
          </w:p>
        </w:tc>
        <w:tc>
          <w:tcPr>
            <w:tcW w:w="3118" w:type="dxa"/>
            <w:gridSpan w:val="3"/>
            <w:tcBorders>
              <w:top w:val="single" w:sz="8" w:space="0" w:color="4F81BD"/>
              <w:left w:val="nil"/>
              <w:bottom w:val="single" w:sz="8" w:space="0" w:color="4F81BD"/>
              <w:right w:val="single" w:sz="8" w:space="0" w:color="4F81BD"/>
            </w:tcBorders>
            <w:vAlign w:val="center"/>
            <w:hideMark/>
          </w:tcPr>
          <w:p w:rsidR="00A54520" w:rsidRDefault="00A54520">
            <w:pPr>
              <w:spacing w:after="0"/>
              <w:rPr>
                <w:color w:val="auto"/>
                <w:szCs w:val="20"/>
              </w:rPr>
            </w:pPr>
            <w:r>
              <w:rPr>
                <w:color w:val="auto"/>
                <w:szCs w:val="20"/>
              </w:rPr>
              <w:t>P:280-301+330+331-305+351+338-309+310</w:t>
            </w:r>
          </w:p>
        </w:tc>
      </w:tr>
      <w:tr w:rsidR="00A54520" w:rsidTr="00A54520">
        <w:tc>
          <w:tcPr>
            <w:tcW w:w="1009" w:type="dxa"/>
            <w:tcBorders>
              <w:top w:val="nil"/>
              <w:left w:val="single" w:sz="8" w:space="0" w:color="4F81BD"/>
              <w:bottom w:val="single" w:sz="8" w:space="0" w:color="4F81BD"/>
              <w:right w:val="nil"/>
            </w:tcBorders>
            <w:vAlign w:val="center"/>
            <w:hideMark/>
          </w:tcPr>
          <w:p w:rsidR="00A54520" w:rsidRDefault="00A54520">
            <w:pPr>
              <w:spacing w:after="0"/>
              <w:jc w:val="center"/>
              <w:rPr>
                <w:b/>
                <w:bCs/>
              </w:rPr>
            </w:pPr>
            <w:r>
              <w:rPr>
                <w:b/>
                <w:noProof/>
                <w:lang w:eastAsia="de-DE"/>
              </w:rPr>
              <w:drawing>
                <wp:inline distT="0" distB="0" distL="0" distR="0">
                  <wp:extent cx="504825" cy="504825"/>
                  <wp:effectExtent l="19050" t="0" r="9525" b="0"/>
                  <wp:docPr id="2"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1"/>
                          <pic:cNvPicPr>
                            <a:picLocks noChangeAspect="1" noChangeArrowheads="1"/>
                          </pic:cNvPicPr>
                        </pic:nvPicPr>
                        <pic:blipFill>
                          <a:blip r:embed="rId5"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c>
          <w:tcPr>
            <w:tcW w:w="1009" w:type="dxa"/>
            <w:tcBorders>
              <w:top w:val="nil"/>
              <w:left w:val="nil"/>
              <w:bottom w:val="single" w:sz="8" w:space="0" w:color="4F81BD"/>
              <w:right w:val="nil"/>
            </w:tcBorders>
            <w:vAlign w:val="center"/>
            <w:hideMark/>
          </w:tcPr>
          <w:p w:rsidR="00A54520" w:rsidRDefault="00A54520">
            <w:pPr>
              <w:spacing w:after="0"/>
              <w:jc w:val="center"/>
            </w:pPr>
            <w:r>
              <w:rPr>
                <w:noProof/>
                <w:lang w:eastAsia="de-DE"/>
              </w:rPr>
              <w:drawing>
                <wp:inline distT="0" distB="0" distL="0" distR="0">
                  <wp:extent cx="504825" cy="504825"/>
                  <wp:effectExtent l="19050" t="0" r="9525" b="0"/>
                  <wp:docPr id="3"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2"/>
                          <pic:cNvPicPr>
                            <a:picLocks noChangeAspect="1" noChangeArrowheads="1"/>
                          </pic:cNvPicPr>
                        </pic:nvPicPr>
                        <pic:blipFill>
                          <a:blip r:embed="rId6"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c>
          <w:tcPr>
            <w:tcW w:w="1009" w:type="dxa"/>
            <w:tcBorders>
              <w:top w:val="nil"/>
              <w:left w:val="nil"/>
              <w:bottom w:val="single" w:sz="8" w:space="0" w:color="4F81BD"/>
              <w:right w:val="nil"/>
            </w:tcBorders>
            <w:vAlign w:val="center"/>
            <w:hideMark/>
          </w:tcPr>
          <w:p w:rsidR="00A54520" w:rsidRDefault="00A54520">
            <w:pPr>
              <w:spacing w:after="0"/>
              <w:jc w:val="center"/>
            </w:pPr>
            <w:r>
              <w:rPr>
                <w:noProof/>
                <w:lang w:eastAsia="de-DE"/>
              </w:rPr>
              <w:drawing>
                <wp:inline distT="0" distB="0" distL="0" distR="0">
                  <wp:extent cx="504825" cy="504825"/>
                  <wp:effectExtent l="19050" t="0" r="9525" b="0"/>
                  <wp:docPr id="4"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3"/>
                          <pic:cNvPicPr>
                            <a:picLocks noChangeAspect="1" noChangeArrowheads="1"/>
                          </pic:cNvPicPr>
                        </pic:nvPicPr>
                        <pic:blipFill>
                          <a:blip r:embed="rId7"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c>
          <w:tcPr>
            <w:tcW w:w="1009" w:type="dxa"/>
            <w:tcBorders>
              <w:top w:val="nil"/>
              <w:left w:val="nil"/>
              <w:bottom w:val="single" w:sz="8" w:space="0" w:color="4F81BD"/>
              <w:right w:val="nil"/>
            </w:tcBorders>
            <w:vAlign w:val="center"/>
            <w:hideMark/>
          </w:tcPr>
          <w:p w:rsidR="00A54520" w:rsidRDefault="00A54520">
            <w:pPr>
              <w:spacing w:after="0"/>
              <w:jc w:val="center"/>
            </w:pPr>
            <w:r>
              <w:rPr>
                <w:noProof/>
                <w:lang w:eastAsia="de-DE"/>
              </w:rPr>
              <w:drawing>
                <wp:inline distT="0" distB="0" distL="0" distR="0">
                  <wp:extent cx="504825" cy="504825"/>
                  <wp:effectExtent l="19050" t="0" r="9525" b="0"/>
                  <wp:docPr id="5"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4"/>
                          <pic:cNvPicPr>
                            <a:picLocks noChangeAspect="1" noChangeArrowheads="1"/>
                          </pic:cNvPicPr>
                        </pic:nvPicPr>
                        <pic:blipFill>
                          <a:blip r:embed="rId8"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c>
          <w:tcPr>
            <w:tcW w:w="1175" w:type="dxa"/>
            <w:tcBorders>
              <w:top w:val="nil"/>
              <w:left w:val="nil"/>
              <w:bottom w:val="single" w:sz="8" w:space="0" w:color="4F81BD"/>
              <w:right w:val="nil"/>
            </w:tcBorders>
            <w:vAlign w:val="center"/>
            <w:hideMark/>
          </w:tcPr>
          <w:p w:rsidR="00A54520" w:rsidRDefault="00A54520">
            <w:pPr>
              <w:spacing w:after="0"/>
              <w:jc w:val="center"/>
            </w:pPr>
            <w:r>
              <w:rPr>
                <w:noProof/>
                <w:lang w:eastAsia="de-DE"/>
              </w:rPr>
              <w:drawing>
                <wp:inline distT="0" distB="0" distL="0" distR="0">
                  <wp:extent cx="504825" cy="504825"/>
                  <wp:effectExtent l="19050" t="0" r="9525" b="0"/>
                  <wp:docPr id="6"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5"/>
                          <pic:cNvPicPr>
                            <a:picLocks noChangeAspect="1" noChangeArrowheads="1"/>
                          </pic:cNvPicPr>
                        </pic:nvPicPr>
                        <pic:blipFill>
                          <a:blip r:embed="rId9"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c>
          <w:tcPr>
            <w:tcW w:w="993" w:type="dxa"/>
            <w:tcBorders>
              <w:top w:val="nil"/>
              <w:left w:val="nil"/>
              <w:bottom w:val="single" w:sz="8" w:space="0" w:color="4F81BD"/>
              <w:right w:val="nil"/>
            </w:tcBorders>
            <w:vAlign w:val="center"/>
            <w:hideMark/>
          </w:tcPr>
          <w:p w:rsidR="00A54520" w:rsidRDefault="00A54520">
            <w:pPr>
              <w:spacing w:after="0"/>
              <w:jc w:val="center"/>
            </w:pPr>
            <w:r>
              <w:rPr>
                <w:noProof/>
                <w:lang w:eastAsia="de-DE"/>
              </w:rPr>
              <w:drawing>
                <wp:inline distT="0" distB="0" distL="0" distR="0">
                  <wp:extent cx="504825" cy="504825"/>
                  <wp:effectExtent l="19050" t="0" r="9525" b="0"/>
                  <wp:docPr id="7"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6"/>
                          <pic:cNvPicPr>
                            <a:picLocks noChangeAspect="1" noChangeArrowheads="1"/>
                          </pic:cNvPicPr>
                        </pic:nvPicPr>
                        <pic:blipFill>
                          <a:blip r:embed="rId10"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c>
          <w:tcPr>
            <w:tcW w:w="975" w:type="dxa"/>
            <w:tcBorders>
              <w:top w:val="nil"/>
              <w:left w:val="nil"/>
              <w:bottom w:val="single" w:sz="8" w:space="0" w:color="4F81BD"/>
              <w:right w:val="nil"/>
            </w:tcBorders>
            <w:vAlign w:val="center"/>
            <w:hideMark/>
          </w:tcPr>
          <w:p w:rsidR="00A54520" w:rsidRDefault="00A54520">
            <w:pPr>
              <w:spacing w:after="0"/>
              <w:jc w:val="center"/>
            </w:pPr>
            <w:r>
              <w:rPr>
                <w:noProof/>
                <w:lang w:eastAsia="de-DE"/>
              </w:rPr>
              <w:drawing>
                <wp:inline distT="0" distB="0" distL="0" distR="0">
                  <wp:extent cx="504825" cy="504825"/>
                  <wp:effectExtent l="19050" t="0" r="9525" b="0"/>
                  <wp:docPr id="8"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7"/>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c>
          <w:tcPr>
            <w:tcW w:w="1009" w:type="dxa"/>
            <w:tcBorders>
              <w:top w:val="nil"/>
              <w:left w:val="nil"/>
              <w:bottom w:val="single" w:sz="8" w:space="0" w:color="4F81BD"/>
              <w:right w:val="nil"/>
            </w:tcBorders>
            <w:vAlign w:val="center"/>
            <w:hideMark/>
          </w:tcPr>
          <w:p w:rsidR="00A54520" w:rsidRDefault="00A54520">
            <w:pPr>
              <w:spacing w:after="0"/>
              <w:jc w:val="center"/>
            </w:pPr>
            <w:r>
              <w:rPr>
                <w:noProof/>
                <w:lang w:eastAsia="de-DE"/>
              </w:rPr>
              <w:drawing>
                <wp:inline distT="0" distB="0" distL="0" distR="0">
                  <wp:extent cx="504825" cy="504825"/>
                  <wp:effectExtent l="19050" t="0" r="9525" b="0"/>
                  <wp:docPr id="9"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8"/>
                          <pic:cNvPicPr>
                            <a:picLocks noChangeAspect="1" noChangeArrowheads="1"/>
                          </pic:cNvPicPr>
                        </pic:nvPicPr>
                        <pic:blipFill>
                          <a:blip r:embed="rId12"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c>
          <w:tcPr>
            <w:tcW w:w="1134" w:type="dxa"/>
            <w:tcBorders>
              <w:top w:val="nil"/>
              <w:left w:val="nil"/>
              <w:bottom w:val="single" w:sz="8" w:space="0" w:color="4F81BD"/>
              <w:right w:val="single" w:sz="8" w:space="0" w:color="4F81BD"/>
            </w:tcBorders>
            <w:vAlign w:val="center"/>
            <w:hideMark/>
          </w:tcPr>
          <w:p w:rsidR="00A54520" w:rsidRDefault="00A54520">
            <w:pPr>
              <w:spacing w:after="0"/>
              <w:jc w:val="center"/>
            </w:pPr>
            <w:r>
              <w:rPr>
                <w:noProof/>
                <w:lang w:eastAsia="de-DE"/>
              </w:rPr>
              <w:drawing>
                <wp:inline distT="0" distB="0" distL="0" distR="0">
                  <wp:extent cx="504825" cy="504825"/>
                  <wp:effectExtent l="19050" t="0" r="9525" b="0"/>
                  <wp:docPr id="10"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9"/>
                          <pic:cNvPicPr>
                            <a:picLocks noChangeAspect="1" noChangeArrowheads="1"/>
                          </pic:cNvPicPr>
                        </pic:nvPicPr>
                        <pic:blipFill>
                          <a:blip r:embed="rId13"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r>
    </w:tbl>
    <w:p w:rsidR="00A54520" w:rsidRDefault="00A54520" w:rsidP="00A54520">
      <w:pPr>
        <w:tabs>
          <w:tab w:val="left" w:pos="1701"/>
          <w:tab w:val="left" w:pos="1985"/>
        </w:tabs>
        <w:rPr>
          <w:color w:val="auto"/>
        </w:rPr>
      </w:pPr>
    </w:p>
    <w:p w:rsidR="00A54520" w:rsidRDefault="00A54520" w:rsidP="00A54520">
      <w:pPr>
        <w:tabs>
          <w:tab w:val="left" w:pos="1701"/>
          <w:tab w:val="left" w:pos="1985"/>
        </w:tabs>
        <w:ind w:left="1980" w:hanging="1980"/>
        <w:rPr>
          <w:color w:val="auto"/>
        </w:rPr>
      </w:pPr>
      <w:r>
        <w:rPr>
          <w:color w:val="auto"/>
        </w:rPr>
        <w:t xml:space="preserve">Materialien: </w:t>
      </w:r>
      <w:r>
        <w:rPr>
          <w:color w:val="auto"/>
        </w:rPr>
        <w:tab/>
      </w:r>
      <w:r>
        <w:rPr>
          <w:color w:val="auto"/>
        </w:rPr>
        <w:tab/>
        <w:t xml:space="preserve">Becherglas (100 </w:t>
      </w:r>
      <w:proofErr w:type="spellStart"/>
      <w:r>
        <w:rPr>
          <w:color w:val="auto"/>
        </w:rPr>
        <w:t>mL</w:t>
      </w:r>
      <w:proofErr w:type="spellEnd"/>
      <w:r>
        <w:rPr>
          <w:color w:val="auto"/>
        </w:rPr>
        <w:t xml:space="preserve">), feuchtes Tuch, Thermometer (-20 °C), </w:t>
      </w:r>
      <w:proofErr w:type="spellStart"/>
      <w:r>
        <w:rPr>
          <w:color w:val="auto"/>
        </w:rPr>
        <w:t>Glasstab</w:t>
      </w:r>
      <w:proofErr w:type="spellEnd"/>
    </w:p>
    <w:p w:rsidR="00A54520" w:rsidRDefault="00A54520" w:rsidP="00A54520">
      <w:pPr>
        <w:tabs>
          <w:tab w:val="left" w:pos="1701"/>
          <w:tab w:val="left" w:pos="1985"/>
        </w:tabs>
        <w:ind w:left="1980" w:hanging="1980"/>
        <w:rPr>
          <w:rFonts w:ascii="Cambria Math" w:eastAsia="MS Mincho" w:hAnsi="Cambria Math" w:cs="MS Mincho"/>
          <w:i/>
          <w:color w:val="auto"/>
        </w:rPr>
      </w:pPr>
      <w:r>
        <w:rPr>
          <w:color w:val="auto"/>
        </w:rPr>
        <w:t>Chemikalien:</w:t>
      </w:r>
      <w:r>
        <w:rPr>
          <w:color w:val="auto"/>
        </w:rPr>
        <w:tab/>
      </w:r>
      <w:r>
        <w:rPr>
          <w:rFonts w:asciiTheme="majorHAnsi" w:hAnsiTheme="majorHAnsi"/>
          <w:color w:val="auto"/>
        </w:rPr>
        <w:tab/>
      </w:r>
      <m:oMath>
        <m:r>
          <m:rPr>
            <m:sty m:val="p"/>
          </m:rPr>
          <w:rPr>
            <w:rFonts w:ascii="Cambria Math" w:hAnsi="Cambria Math" w:cs="Cambria Math"/>
            <w:color w:val="auto"/>
          </w:rPr>
          <m:t>N</m:t>
        </m:r>
        <m:sSub>
          <m:sSubPr>
            <m:ctrlPr>
              <w:rPr>
                <w:rFonts w:ascii="Cambria Math" w:hAnsi="Cambria Math" w:cs="Cambria Math"/>
              </w:rPr>
            </m:ctrlPr>
          </m:sSubPr>
          <m:e>
            <m:r>
              <m:rPr>
                <m:sty m:val="p"/>
              </m:rPr>
              <w:rPr>
                <w:rFonts w:ascii="Cambria Math" w:hAnsi="Cambria Math" w:cs="Cambria Math"/>
                <w:color w:val="auto"/>
              </w:rPr>
              <m:t>H</m:t>
            </m:r>
          </m:e>
          <m:sub>
            <m:r>
              <m:rPr>
                <m:sty m:val="p"/>
              </m:rPr>
              <w:rPr>
                <w:rFonts w:ascii="Cambria Math" w:hAnsi="Cambria Math" w:cs="Cambria Math"/>
                <w:color w:val="auto"/>
              </w:rPr>
              <m:t>4</m:t>
            </m:r>
          </m:sub>
        </m:sSub>
        <m:r>
          <m:rPr>
            <m:sty m:val="p"/>
          </m:rPr>
          <w:rPr>
            <w:rFonts w:ascii="Cambria Math" w:hAnsi="Cambria Math" w:cs="Cambria Math"/>
            <w:color w:val="auto"/>
          </w:rPr>
          <m:t>SCN</m:t>
        </m:r>
      </m:oMath>
      <w:r>
        <w:rPr>
          <w:rFonts w:asciiTheme="majorHAnsi" w:hAnsiTheme="majorHAnsi"/>
          <w:color w:val="auto"/>
        </w:rPr>
        <w:t xml:space="preserve">, </w:t>
      </w:r>
      <m:oMath>
        <m:r>
          <m:rPr>
            <m:sty m:val="p"/>
          </m:rPr>
          <w:rPr>
            <w:rFonts w:ascii="Cambria Math" w:hAnsi="Lucida Sans"/>
          </w:rPr>
          <m:t>Ba(OH</m:t>
        </m:r>
        <m:sSub>
          <m:sSubPr>
            <m:ctrlPr>
              <w:rPr>
                <w:rFonts w:ascii="Cambria Math" w:hAnsi="Lucida Sans"/>
              </w:rPr>
            </m:ctrlPr>
          </m:sSubPr>
          <m:e>
            <m:r>
              <m:rPr>
                <m:sty m:val="p"/>
              </m:rPr>
              <w:rPr>
                <w:rFonts w:ascii="Cambria Math" w:hAnsi="Lucida Sans"/>
              </w:rPr>
              <m:t>)</m:t>
            </m:r>
          </m:e>
          <m:sub>
            <m:r>
              <m:rPr>
                <m:sty m:val="p"/>
              </m:rPr>
              <w:rPr>
                <w:rFonts w:ascii="Cambria Math" w:hAnsi="Lucida Sans"/>
              </w:rPr>
              <m:t>2</m:t>
            </m:r>
          </m:sub>
        </m:sSub>
        <m:r>
          <m:rPr>
            <m:sty m:val="p"/>
          </m:rPr>
          <w:rPr>
            <w:rFonts w:ascii="Cambria Math" w:hAnsi="Cambria Math"/>
          </w:rPr>
          <m:t>∙</m:t>
        </m:r>
        <m:r>
          <m:rPr>
            <m:sty m:val="p"/>
          </m:rPr>
          <w:rPr>
            <w:rFonts w:ascii="Cambria Math" w:hAnsi="Lucida Sans"/>
          </w:rPr>
          <m:t>8</m:t>
        </m:r>
        <m:sSub>
          <m:sSubPr>
            <m:ctrlPr>
              <w:rPr>
                <w:rFonts w:ascii="Cambria Math" w:hAnsi="Lucida Sans"/>
              </w:rPr>
            </m:ctrlPr>
          </m:sSubPr>
          <m:e>
            <m:r>
              <m:rPr>
                <m:sty m:val="p"/>
              </m:rPr>
              <w:rPr>
                <w:rFonts w:ascii="Cambria Math" w:hAnsi="Lucida Sans"/>
              </w:rPr>
              <m:t>H</m:t>
            </m:r>
          </m:e>
          <m:sub>
            <m:r>
              <m:rPr>
                <m:sty m:val="p"/>
              </m:rPr>
              <w:rPr>
                <w:rFonts w:ascii="Cambria Math" w:hAnsi="Lucida Sans"/>
              </w:rPr>
              <m:t>2</m:t>
            </m:r>
          </m:sub>
        </m:sSub>
        <m:r>
          <m:rPr>
            <m:sty m:val="p"/>
          </m:rPr>
          <w:rPr>
            <w:rFonts w:ascii="Cambria Math" w:hAnsi="Lucida Sans"/>
          </w:rPr>
          <m:t>O</m:t>
        </m:r>
      </m:oMath>
    </w:p>
    <w:p w:rsidR="00A54520" w:rsidRDefault="00A54520" w:rsidP="00A54520">
      <w:pPr>
        <w:tabs>
          <w:tab w:val="left" w:pos="1701"/>
          <w:tab w:val="left" w:pos="1985"/>
        </w:tabs>
        <w:ind w:left="1980" w:hanging="1980"/>
        <w:rPr>
          <w:color w:val="auto"/>
        </w:rPr>
      </w:pPr>
      <w:r>
        <w:rPr>
          <w:color w:val="auto"/>
        </w:rPr>
        <w:t xml:space="preserve">Durchführung: </w:t>
      </w:r>
      <w:r>
        <w:rPr>
          <w:color w:val="auto"/>
        </w:rPr>
        <w:tab/>
      </w:r>
      <w:r>
        <w:rPr>
          <w:color w:val="auto"/>
        </w:rPr>
        <w:tab/>
        <w:t xml:space="preserve">In einem kleinen Becherglas werden etwa 8 g </w:t>
      </w:r>
      <w:proofErr w:type="spellStart"/>
      <w:r>
        <w:rPr>
          <w:color w:val="auto"/>
        </w:rPr>
        <w:t>Bariumhydroxid-octahydrat</w:t>
      </w:r>
      <w:proofErr w:type="spellEnd"/>
      <w:r>
        <w:rPr>
          <w:color w:val="auto"/>
        </w:rPr>
        <w:t xml:space="preserve"> und etwa 4 g </w:t>
      </w:r>
      <w:proofErr w:type="spellStart"/>
      <w:r>
        <w:rPr>
          <w:color w:val="auto"/>
        </w:rPr>
        <w:t>Ammoniumthiocyanat</w:t>
      </w:r>
      <w:proofErr w:type="spellEnd"/>
      <w:r>
        <w:rPr>
          <w:color w:val="auto"/>
        </w:rPr>
        <w:t xml:space="preserve"> durch kurzes Umrühren mit einem </w:t>
      </w:r>
      <w:proofErr w:type="spellStart"/>
      <w:r>
        <w:rPr>
          <w:color w:val="auto"/>
        </w:rPr>
        <w:t>Glasstab</w:t>
      </w:r>
      <w:proofErr w:type="spellEnd"/>
      <w:r>
        <w:rPr>
          <w:color w:val="auto"/>
        </w:rPr>
        <w:t xml:space="preserve"> vermischt. Das Becherglas wird schnell auf ein feuchtes Tuch gestellt und mittels Thermometer wird die Temperatur gemessen.</w:t>
      </w:r>
    </w:p>
    <w:p w:rsidR="00A54520" w:rsidRDefault="00A54520" w:rsidP="00A54520">
      <w:pPr>
        <w:tabs>
          <w:tab w:val="left" w:pos="1985"/>
        </w:tabs>
        <w:ind w:left="1980" w:hanging="1980"/>
        <w:rPr>
          <w:color w:val="auto"/>
        </w:rPr>
      </w:pPr>
      <w:r>
        <w:rPr>
          <w:color w:val="auto"/>
        </w:rPr>
        <w:t>Beobachtung:</w:t>
      </w:r>
      <w:r>
        <w:rPr>
          <w:color w:val="auto"/>
        </w:rPr>
        <w:tab/>
        <w:t>Die Mischung wird flüssig, die Temperatur sinkt schnell bis auf - 8 °C und tiefer. Ein leichter Ammoniakgeruch ist wahrzunehmen.</w:t>
      </w:r>
      <w:r>
        <w:rPr>
          <w:color w:val="auto"/>
        </w:rPr>
        <w:tab/>
      </w:r>
    </w:p>
    <w:p w:rsidR="00A54520" w:rsidRDefault="00A54520" w:rsidP="00A54520">
      <w:pPr>
        <w:tabs>
          <w:tab w:val="left" w:pos="1985"/>
        </w:tabs>
        <w:rPr>
          <w:rFonts w:eastAsiaTheme="minorEastAsia"/>
        </w:rPr>
      </w:pPr>
      <w:r>
        <w:rPr>
          <w:noProof/>
          <w:lang w:eastAsia="de-DE"/>
        </w:rPr>
        <w:drawing>
          <wp:anchor distT="0" distB="0" distL="114300" distR="114300" simplePos="0" relativeHeight="251658240" behindDoc="1" locked="0" layoutInCell="1" allowOverlap="1">
            <wp:simplePos x="0" y="0"/>
            <wp:positionH relativeFrom="column">
              <wp:posOffset>1249680</wp:posOffset>
            </wp:positionH>
            <wp:positionV relativeFrom="paragraph">
              <wp:posOffset>353060</wp:posOffset>
            </wp:positionV>
            <wp:extent cx="4544060" cy="267335"/>
            <wp:effectExtent l="19050" t="0" r="8890" b="0"/>
            <wp:wrapTight wrapText="bothSides">
              <wp:wrapPolygon edited="0">
                <wp:start x="17205" y="0"/>
                <wp:lineTo x="-91" y="1539"/>
                <wp:lineTo x="-91" y="18470"/>
                <wp:lineTo x="11862" y="18470"/>
                <wp:lineTo x="12496" y="18470"/>
                <wp:lineTo x="21642" y="18470"/>
                <wp:lineTo x="21642" y="1539"/>
                <wp:lineTo x="17748" y="0"/>
                <wp:lineTo x="17205"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4544060" cy="267335"/>
                    </a:xfrm>
                    <a:prstGeom prst="rect">
                      <a:avLst/>
                    </a:prstGeom>
                    <a:noFill/>
                  </pic:spPr>
                </pic:pic>
              </a:graphicData>
            </a:graphic>
          </wp:anchor>
        </w:drawing>
      </w:r>
      <w:r>
        <w:rPr>
          <w:color w:val="auto"/>
        </w:rPr>
        <w:t xml:space="preserve">Deutung: </w:t>
      </w:r>
      <w:r>
        <w:rPr>
          <w:color w:val="auto"/>
        </w:rPr>
        <w:tab/>
        <w:t>Folgende Reaktion findet statt:</w:t>
      </w:r>
    </w:p>
    <w:p w:rsidR="00A54520" w:rsidRDefault="00A54520" w:rsidP="00A54520">
      <w:pPr>
        <w:ind w:left="1980" w:hanging="1980"/>
        <w:rPr>
          <w:color w:val="auto"/>
        </w:rPr>
      </w:pPr>
    </w:p>
    <w:p w:rsidR="00A54520" w:rsidRDefault="00A54520" w:rsidP="00A54520">
      <w:pPr>
        <w:tabs>
          <w:tab w:val="left" w:pos="2065"/>
        </w:tabs>
        <w:ind w:left="1980" w:hanging="1980"/>
        <w:rPr>
          <w:rFonts w:eastAsiaTheme="minorEastAsia"/>
          <w:color w:val="auto"/>
        </w:rPr>
      </w:pPr>
      <w:r>
        <w:rPr>
          <w:color w:val="auto"/>
        </w:rPr>
        <w:tab/>
        <w:t xml:space="preserve">Das Sinken der Temperatur nach Zusammengeben der Edukte zeigt, dass eine endotherme Reaktion abläuft. Obwohl für endotherme Reaktionen </w:t>
      </w:r>
      <w:r>
        <w:rPr>
          <w:rFonts w:ascii="Times New Roman" w:hAnsi="Times New Roman" w:cs="Times New Roman"/>
          <w:color w:val="auto"/>
        </w:rPr>
        <w:t>Δ</w:t>
      </w:r>
      <w:r>
        <w:rPr>
          <w:color w:val="auto"/>
        </w:rPr>
        <w:t>H</w:t>
      </w:r>
      <w:r>
        <w:rPr>
          <w:rFonts w:ascii="Times New Roman" w:hAnsi="Times New Roman" w:cs="Times New Roman"/>
          <w:color w:val="auto"/>
        </w:rPr>
        <w:t>&gt;</w:t>
      </w:r>
      <w:r>
        <w:rPr>
          <w:color w:val="auto"/>
        </w:rPr>
        <w:t xml:space="preserve">0 gilt, lief diese Reaktion trotzdem spontan ab. Die Erklärung liefert die </w:t>
      </w:r>
      <w:r>
        <w:rPr>
          <w:color w:val="auto"/>
        </w:rPr>
        <w:lastRenderedPageBreak/>
        <w:t xml:space="preserve">Gibbs-Helmholtz-Gleichung, in der Enthalpie und Entropie zur freien Enthalpie verknüpft werden: </w:t>
      </w:r>
      <m:oMath>
        <m:r>
          <m:rPr>
            <m:sty m:val="p"/>
          </m:rPr>
          <w:rPr>
            <w:rFonts w:ascii="Cambria Math" w:hAnsi="Cambria Math" w:cs="Times New Roman"/>
            <w:color w:val="auto"/>
          </w:rPr>
          <m:t>Δ</m:t>
        </m:r>
        <m:r>
          <m:rPr>
            <m:sty m:val="p"/>
          </m:rPr>
          <w:rPr>
            <w:rFonts w:ascii="Cambria Math" w:hAnsi="Cambria Math"/>
            <w:color w:val="auto"/>
          </w:rPr>
          <m:t>G=</m:t>
        </m:r>
        <m:r>
          <m:rPr>
            <m:sty m:val="p"/>
          </m:rPr>
          <w:rPr>
            <w:rFonts w:ascii="Cambria Math" w:hAnsi="Cambria Math" w:cs="Times New Roman"/>
            <w:color w:val="auto"/>
          </w:rPr>
          <m:t>Δ</m:t>
        </m:r>
        <m:r>
          <m:rPr>
            <m:sty m:val="p"/>
          </m:rPr>
          <w:rPr>
            <w:rFonts w:ascii="Cambria Math" w:hAnsi="Cambria Math"/>
            <w:color w:val="auto"/>
          </w:rPr>
          <m:t>H-T∙∆S</m:t>
        </m:r>
      </m:oMath>
      <w:r>
        <w:rPr>
          <w:rFonts w:eastAsiaTheme="minorEastAsia"/>
          <w:color w:val="auto"/>
        </w:rPr>
        <w:t xml:space="preserve">. Nur Reaktionen, für die </w:t>
      </w:r>
      <w:r>
        <w:rPr>
          <w:rFonts w:ascii="Times New Roman" w:eastAsiaTheme="minorEastAsia" w:hAnsi="Times New Roman" w:cs="Times New Roman"/>
          <w:color w:val="auto"/>
        </w:rPr>
        <w:t>ΔG</w:t>
      </w:r>
      <w:r>
        <w:rPr>
          <w:rFonts w:eastAsiaTheme="minorEastAsia"/>
          <w:color w:val="auto"/>
        </w:rPr>
        <w:t xml:space="preserve">&lt;0 gilt, laufen spontan ab. Sie werden als </w:t>
      </w:r>
      <w:proofErr w:type="spellStart"/>
      <w:r>
        <w:rPr>
          <w:rFonts w:eastAsiaTheme="minorEastAsia"/>
          <w:color w:val="auto"/>
        </w:rPr>
        <w:t>exergonisch</w:t>
      </w:r>
      <w:proofErr w:type="spellEnd"/>
      <w:r>
        <w:rPr>
          <w:rFonts w:eastAsiaTheme="minorEastAsia"/>
          <w:color w:val="auto"/>
        </w:rPr>
        <w:t xml:space="preserve"> bezeichnet, wohingegen Reaktionen mit </w:t>
      </w:r>
      <w:r>
        <w:rPr>
          <w:rFonts w:ascii="Times New Roman" w:eastAsiaTheme="minorEastAsia" w:hAnsi="Times New Roman" w:cs="Times New Roman"/>
          <w:color w:val="auto"/>
        </w:rPr>
        <w:t>Δ</w:t>
      </w:r>
      <w:r>
        <w:rPr>
          <w:rFonts w:eastAsiaTheme="minorEastAsia"/>
          <w:color w:val="auto"/>
        </w:rPr>
        <w:t>G</w:t>
      </w:r>
      <w:r>
        <w:rPr>
          <w:rFonts w:ascii="Times New Roman" w:eastAsiaTheme="minorEastAsia" w:hAnsi="Times New Roman" w:cs="Times New Roman"/>
          <w:color w:val="auto"/>
        </w:rPr>
        <w:t>&gt;</w:t>
      </w:r>
      <w:r>
        <w:rPr>
          <w:rFonts w:eastAsiaTheme="minorEastAsia"/>
          <w:color w:val="auto"/>
        </w:rPr>
        <w:t xml:space="preserve">0 als </w:t>
      </w:r>
      <w:proofErr w:type="spellStart"/>
      <w:r>
        <w:rPr>
          <w:rFonts w:eastAsiaTheme="minorEastAsia"/>
          <w:color w:val="auto"/>
        </w:rPr>
        <w:t>endergonisch</w:t>
      </w:r>
      <w:proofErr w:type="spellEnd"/>
      <w:r>
        <w:rPr>
          <w:rFonts w:eastAsiaTheme="minorEastAsia"/>
          <w:color w:val="auto"/>
        </w:rPr>
        <w:t xml:space="preserve"> betitelt werden. Da die oben aufgeführte Reaktion offensichtlich abläuft, muss das Produkt aus absoluter Temperatur und </w:t>
      </w:r>
      <w:proofErr w:type="spellStart"/>
      <w:r>
        <w:rPr>
          <w:rFonts w:eastAsiaTheme="minorEastAsia"/>
          <w:color w:val="auto"/>
        </w:rPr>
        <w:t>Entropieänderung</w:t>
      </w:r>
      <w:proofErr w:type="spellEnd"/>
      <w:r>
        <w:rPr>
          <w:rFonts w:eastAsiaTheme="minorEastAsia"/>
          <w:color w:val="auto"/>
        </w:rPr>
        <w:t xml:space="preserve"> größer sein als die </w:t>
      </w:r>
      <w:proofErr w:type="spellStart"/>
      <w:r>
        <w:rPr>
          <w:rFonts w:eastAsiaTheme="minorEastAsia"/>
          <w:color w:val="auto"/>
        </w:rPr>
        <w:t>Enthalpieänderung</w:t>
      </w:r>
      <w:proofErr w:type="spellEnd"/>
      <w:r>
        <w:rPr>
          <w:rFonts w:eastAsiaTheme="minorEastAsia"/>
          <w:color w:val="auto"/>
        </w:rPr>
        <w:t xml:space="preserve">. Nur so ist gewährleistet, dass </w:t>
      </w:r>
      <w:r>
        <w:rPr>
          <w:rFonts w:ascii="Times New Roman" w:eastAsiaTheme="minorEastAsia" w:hAnsi="Times New Roman" w:cs="Times New Roman"/>
          <w:color w:val="auto"/>
        </w:rPr>
        <w:t>Δ</w:t>
      </w:r>
      <w:r>
        <w:rPr>
          <w:rFonts w:eastAsiaTheme="minorEastAsia"/>
          <w:color w:val="auto"/>
        </w:rPr>
        <w:t xml:space="preserve">G&lt;0 ist. Aus drei </w:t>
      </w:r>
      <w:proofErr w:type="spellStart"/>
      <w:r>
        <w:rPr>
          <w:rFonts w:eastAsiaTheme="minorEastAsia"/>
          <w:color w:val="auto"/>
        </w:rPr>
        <w:t>Eduktmolekülen</w:t>
      </w:r>
      <w:proofErr w:type="spellEnd"/>
      <w:r>
        <w:rPr>
          <w:rFonts w:eastAsiaTheme="minorEastAsia"/>
          <w:color w:val="auto"/>
        </w:rPr>
        <w:t xml:space="preserve"> entstehen 15 Produktmoleküle bzw. -Ionen, wodurch die Entropie im System erhöht wird. Verstärkend kommt hinzu, dass die Produkte gasförmig oder in wässriger Phase vorliegen, im Vergleich zu den Edukten, die fest sind.</w:t>
      </w:r>
    </w:p>
    <w:p w:rsidR="00A54520" w:rsidRDefault="00A54520" w:rsidP="00A54520">
      <w:pPr>
        <w:ind w:left="1980" w:hanging="1980"/>
        <w:rPr>
          <w:color w:val="auto"/>
        </w:rPr>
      </w:pPr>
      <w:r>
        <w:rPr>
          <w:color w:val="auto"/>
        </w:rPr>
        <w:t>Entsorgung:</w:t>
      </w:r>
      <w:r>
        <w:rPr>
          <w:color w:val="auto"/>
        </w:rPr>
        <w:tab/>
        <w:t xml:space="preserve">Lösung in den Schwermetallbehälter geben. </w:t>
      </w:r>
    </w:p>
    <w:p w:rsidR="00A54520" w:rsidRDefault="00A54520" w:rsidP="00A54520">
      <w:pPr>
        <w:spacing w:before="240"/>
        <w:ind w:left="1980" w:hanging="1980"/>
        <w:rPr>
          <w:rFonts w:asciiTheme="majorHAnsi" w:hAnsiTheme="majorHAnsi"/>
          <w:color w:val="auto"/>
        </w:rPr>
      </w:pPr>
      <w:r>
        <w:rPr>
          <w:color w:val="auto"/>
        </w:rPr>
        <w:t>Literatur:</w:t>
      </w:r>
      <w:r>
        <w:rPr>
          <w:color w:val="auto"/>
        </w:rPr>
        <w:tab/>
      </w:r>
      <w:proofErr w:type="spellStart"/>
      <w:r>
        <w:rPr>
          <w:color w:val="auto"/>
        </w:rPr>
        <w:t>Nordholz</w:t>
      </w:r>
      <w:proofErr w:type="spellEnd"/>
      <w:r>
        <w:rPr>
          <w:color w:val="auto"/>
        </w:rPr>
        <w:t>, M., Herbst-Irmer, R., Praktikumsskript. Allgemeine und Anorganische Chemie. Georg-August-Universität Göttingen, WS 2011/2012.</w:t>
      </w:r>
    </w:p>
    <w:p w:rsidR="00A54520" w:rsidRDefault="00A54520" w:rsidP="00A54520">
      <w:pPr>
        <w:tabs>
          <w:tab w:val="left" w:pos="1701"/>
          <w:tab w:val="left" w:pos="1985"/>
        </w:tabs>
        <w:ind w:left="1980" w:hanging="1980"/>
        <w:rPr>
          <w:color w:val="auto"/>
        </w:rPr>
      </w:pPr>
    </w:p>
    <w:p w:rsidR="00A54520" w:rsidRDefault="00A54520" w:rsidP="00A54520">
      <w:pPr>
        <w:tabs>
          <w:tab w:val="left" w:pos="1701"/>
          <w:tab w:val="left" w:pos="1985"/>
        </w:tabs>
        <w:ind w:left="1980" w:hanging="1980"/>
        <w:rPr>
          <w:color w:val="auto"/>
        </w:rPr>
      </w:pPr>
      <w:r>
        <w:rPr>
          <w:color w:val="auto"/>
        </w:rPr>
      </w:r>
      <w:r>
        <w:rPr>
          <w:color w:val="auto"/>
        </w:rPr>
        <w:pict>
          <v:shape id="_x0000_s1026" type="#_x0000_t202" style="width:462.45pt;height:172.45pt;mso-position-horizontal-relative:char;mso-position-vertical-relative:line;mso-width-relative:margin;mso-height-relative:margin" fillcolor="white [3201]" strokecolor="#c0504d [3205]" strokeweight="1pt">
            <v:stroke dashstyle="dash"/>
            <v:shadow color="#868686"/>
            <v:textbox style="mso-next-textbox:#_x0000_s1026">
              <w:txbxContent>
                <w:p w:rsidR="00A54520" w:rsidRDefault="00A54520" w:rsidP="00A54520">
                  <w:pPr>
                    <w:rPr>
                      <w:color w:val="auto"/>
                    </w:rPr>
                  </w:pPr>
                  <w:r>
                    <w:rPr>
                      <w:color w:val="auto"/>
                    </w:rPr>
                    <w:t xml:space="preserve">Dieser Versuch kann eingesetzt werden, um bei den </w:t>
                  </w:r>
                  <w:proofErr w:type="spellStart"/>
                  <w:r>
                    <w:rPr>
                      <w:color w:val="auto"/>
                    </w:rPr>
                    <w:t>SuS</w:t>
                  </w:r>
                  <w:proofErr w:type="spellEnd"/>
                  <w:r>
                    <w:rPr>
                      <w:color w:val="auto"/>
                    </w:rPr>
                    <w:t xml:space="preserve"> einen kognitiven Konflikt hervorzurufen. Schließlich haben sie gelernt, dass endotherme Reaktionen nicht spontan ablaufen können. Im Anschluss kann die Entropie eingeführt und das Zusammenspiel zwischen dieser und der Enthalpie anhand des Versuchs erarbeitet werden. Zu beachten ist, dass die Entropie im Kerncurriculum nur für Kurse auf erhöhtem Anforderungsniveau aufgeführt ist. </w:t>
                  </w:r>
                </w:p>
                <w:p w:rsidR="00A54520" w:rsidRDefault="00A54520" w:rsidP="00A54520">
                  <w:pPr>
                    <w:rPr>
                      <w:color w:val="auto"/>
                    </w:rPr>
                  </w:pPr>
                  <w:r>
                    <w:rPr>
                      <w:color w:val="auto"/>
                    </w:rPr>
                    <w:t>Neben der Geruchsprobe, kann bei diesem Versuch auch angefeuchtetes Indikatorpapier eingesetzt werden, um den entstehenden Ammoniak nachzuweisen. Das Indikatorpapier würde sich blau verfärben.</w:t>
                  </w:r>
                </w:p>
                <w:p w:rsidR="00A54520" w:rsidRDefault="00A54520" w:rsidP="00A54520">
                  <w:pPr>
                    <w:rPr>
                      <w:color w:val="auto"/>
                      <w:vertAlign w:val="subscript"/>
                    </w:rPr>
                  </w:pPr>
                </w:p>
              </w:txbxContent>
            </v:textbox>
            <w10:wrap type="none"/>
            <w10:anchorlock/>
          </v:shape>
        </w:pict>
      </w:r>
    </w:p>
    <w:p w:rsidR="00A54520" w:rsidRDefault="00A54520" w:rsidP="00A54520">
      <w:pPr>
        <w:tabs>
          <w:tab w:val="left" w:pos="1701"/>
          <w:tab w:val="left" w:pos="1985"/>
        </w:tabs>
        <w:rPr>
          <w:color w:val="auto"/>
        </w:rPr>
      </w:pPr>
    </w:p>
    <w:p w:rsidR="00D54C31" w:rsidRDefault="002C5AAC"/>
    <w:sectPr w:rsidR="00D54C31" w:rsidSect="00CA5D7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lang w:val="de-DE"/>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4520"/>
    <w:rsid w:val="002C5AAC"/>
    <w:rsid w:val="003F61E8"/>
    <w:rsid w:val="006838B0"/>
    <w:rsid w:val="00741064"/>
    <w:rsid w:val="00A54520"/>
    <w:rsid w:val="00CA5D71"/>
    <w:rsid w:val="00FE587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4520"/>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54520"/>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A54520"/>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semiHidden/>
    <w:unhideWhenUsed/>
    <w:qFormat/>
    <w:rsid w:val="00A54520"/>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5452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5452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5452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5452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5452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5452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4520"/>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semiHidden/>
    <w:rsid w:val="00A54520"/>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semiHidden/>
    <w:rsid w:val="00A54520"/>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5452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5452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5452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5452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5452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54520"/>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A545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520"/>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divs>
    <w:div w:id="134717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1701</Characters>
  <Application>Microsoft Office Word</Application>
  <DocSecurity>0</DocSecurity>
  <Lines>14</Lines>
  <Paragraphs>3</Paragraphs>
  <ScaleCrop>false</ScaleCrop>
  <Company>Frost-RL</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Hiller</dc:creator>
  <cp:lastModifiedBy>Hiller</cp:lastModifiedBy>
  <cp:revision>1</cp:revision>
  <dcterms:created xsi:type="dcterms:W3CDTF">2015-08-21T14:27:00Z</dcterms:created>
  <dcterms:modified xsi:type="dcterms:W3CDTF">2015-08-21T14:27:00Z</dcterms:modified>
</cp:coreProperties>
</file>