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80" w:rsidRPr="00984EF9" w:rsidRDefault="00CA3780" w:rsidP="00CA3780">
      <w:pPr>
        <w:pStyle w:val="berschrift2"/>
        <w:numPr>
          <w:ilvl w:val="0"/>
          <w:numId w:val="0"/>
        </w:numPr>
        <w:ind w:left="576" w:hanging="576"/>
      </w:pPr>
      <w:bookmarkStart w:id="0" w:name="_Toc427837113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pt;margin-top:60.4pt;width:462.45pt;height:130.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CA3780" w:rsidRPr="00F31EBF" w:rsidRDefault="00CA3780" w:rsidP="00CA378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Versuch lernen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ein elektrochemisches Verfahren zum Schutz von Metal</w:t>
                  </w:r>
                  <w:r>
                    <w:rPr>
                      <w:color w:val="auto"/>
                    </w:rPr>
                    <w:t>l</w:t>
                  </w:r>
                  <w:r>
                    <w:rPr>
                      <w:color w:val="auto"/>
                    </w:rPr>
                    <w:t>schichten durch Oxidbildung und nicht wie beim Galvanisieren durch Auftragen einer Schicht eines anderen Metalls kennen. Das adsorptive Färben des Blechs mit dem Farbstoff Eosin füh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te zu einem schlechten Ergebnis. Eine andere Alternative des Färbens wird in Versuch V3 vo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 xml:space="preserve">gestellt. Als Vorwissen werden Kenntnisse des Elektrolyseprinzips vorausgesetzt. </w:t>
                  </w:r>
                </w:p>
              </w:txbxContent>
            </v:textbox>
            <w10:wrap type="square"/>
          </v:shape>
        </w:pict>
      </w:r>
      <w:r>
        <w:t xml:space="preserve"> </w:t>
      </w:r>
      <w:proofErr w:type="spellStart"/>
      <w:r>
        <w:t>Eloxalverfahren</w:t>
      </w:r>
      <w:bookmarkEnd w:id="0"/>
      <w:proofErr w:type="spellEnd"/>
    </w:p>
    <w:p w:rsidR="00CA3780" w:rsidRDefault="00CA3780" w:rsidP="00CA3780">
      <w:pPr>
        <w:pStyle w:val="berschrift2"/>
        <w:numPr>
          <w:ilvl w:val="0"/>
          <w:numId w:val="0"/>
        </w:numPr>
      </w:pPr>
      <w:bookmarkStart w:id="1" w:name="_Toc425776595"/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A3780" w:rsidRPr="00994885" w:rsidTr="00C27408">
        <w:tc>
          <w:tcPr>
            <w:tcW w:w="9322" w:type="dxa"/>
            <w:gridSpan w:val="9"/>
            <w:shd w:val="clear" w:color="auto" w:fill="4F81BD"/>
            <w:vAlign w:val="center"/>
          </w:tcPr>
          <w:p w:rsidR="00CA3780" w:rsidRPr="00994885" w:rsidRDefault="00CA3780" w:rsidP="00C27408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94885">
              <w:rPr>
                <w:b/>
                <w:bCs/>
                <w:color w:val="FFFFFF" w:themeColor="background1"/>
                <w:sz w:val="20"/>
                <w:szCs w:val="20"/>
              </w:rPr>
              <w:t>Gefahrenstoffe</w:t>
            </w:r>
          </w:p>
        </w:tc>
      </w:tr>
      <w:tr w:rsidR="00CA3780" w:rsidRPr="00994885" w:rsidTr="00C2740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780" w:rsidRPr="00994885" w:rsidRDefault="00CA3780" w:rsidP="00C2740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94885">
              <w:rPr>
                <w:sz w:val="20"/>
                <w:szCs w:val="20"/>
              </w:rPr>
              <w:t>Schwefelsäure (w=10%)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780" w:rsidRPr="00994885" w:rsidRDefault="00CA3780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sz w:val="20"/>
                <w:szCs w:val="20"/>
              </w:rPr>
              <w:t>H: 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3780" w:rsidRPr="00994885" w:rsidRDefault="00CA3780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280-303+361+353-301+331-309+311</w:t>
            </w:r>
          </w:p>
        </w:tc>
      </w:tr>
      <w:tr w:rsidR="00CA3780" w:rsidRPr="00994885" w:rsidTr="00C27408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CA3780" w:rsidRPr="00994885" w:rsidRDefault="00CA3780" w:rsidP="00C27408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Eosin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CA3780" w:rsidRPr="00994885" w:rsidRDefault="00CA3780" w:rsidP="00C27408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319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A3780" w:rsidRPr="00994885" w:rsidRDefault="00CA3780" w:rsidP="00C27408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260-305+351+338</w:t>
            </w:r>
          </w:p>
        </w:tc>
      </w:tr>
      <w:tr w:rsidR="00CA3780" w:rsidRPr="00994885" w:rsidTr="00C2740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780" w:rsidRPr="00994885" w:rsidRDefault="00CA3780" w:rsidP="00C274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4885">
              <w:rPr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780" w:rsidRPr="00994885" w:rsidRDefault="00CA3780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780" w:rsidRPr="00994885" w:rsidRDefault="00CA3780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780" w:rsidRPr="00994885" w:rsidRDefault="00CA3780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780" w:rsidRPr="00994885" w:rsidRDefault="00CA3780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780" w:rsidRPr="00994885" w:rsidRDefault="00CA3780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780" w:rsidRPr="00994885" w:rsidRDefault="00CA3780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780" w:rsidRPr="00994885" w:rsidRDefault="00CA3780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3780" w:rsidRPr="00994885" w:rsidRDefault="00CA3780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780" w:rsidRDefault="00CA3780" w:rsidP="00CA3780">
      <w:pPr>
        <w:tabs>
          <w:tab w:val="left" w:pos="1701"/>
          <w:tab w:val="left" w:pos="1985"/>
        </w:tabs>
        <w:ind w:left="1980" w:hanging="1980"/>
      </w:pPr>
    </w:p>
    <w:p w:rsidR="00CA3780" w:rsidRPr="00B859F4" w:rsidRDefault="00CA3780" w:rsidP="00CA378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Pr="00B859F4">
        <w:t xml:space="preserve">Stromquelle, Kabel, Messgerät, Graphitelektrode, </w:t>
      </w:r>
      <w:r>
        <w:t xml:space="preserve">Aluminiumblech, </w:t>
      </w:r>
      <w:r w:rsidRPr="00B859F4">
        <w:t>3 B</w:t>
      </w:r>
      <w:r w:rsidRPr="00B859F4">
        <w:t>e</w:t>
      </w:r>
      <w:r w:rsidRPr="00B859F4">
        <w:t>chergläser (100 ml), Thermometer, Heizgerät.</w:t>
      </w:r>
    </w:p>
    <w:p w:rsidR="00CA3780" w:rsidRPr="00ED07C2" w:rsidRDefault="00CA3780" w:rsidP="00CA378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100 </w:t>
      </w:r>
      <w:proofErr w:type="spellStart"/>
      <w:r>
        <w:t>mL</w:t>
      </w:r>
      <w:proofErr w:type="spellEnd"/>
      <w:r>
        <w:t xml:space="preserve"> Schwefelsäure (w=10 %), </w:t>
      </w:r>
      <w:proofErr w:type="spellStart"/>
      <w:r>
        <w:t>Spatelspitze</w:t>
      </w:r>
      <w:proofErr w:type="spellEnd"/>
      <w:r>
        <w:t xml:space="preserve"> Eosin </w:t>
      </w:r>
    </w:p>
    <w:p w:rsidR="00CA3780" w:rsidRPr="00B031BE" w:rsidRDefault="00CA3780" w:rsidP="00CA3780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Es wird eine Elektrolyseapparatur aufgebaut- Die Graphitelektrode wird als Kathode (Minuspol) und das Aluminiumblech als Anode (Pluspol) g</w:t>
      </w:r>
      <w:r>
        <w:t>e</w:t>
      </w:r>
      <w:r>
        <w:t>schaltet. Die Schwefelsäure wird als Elektrolyt verwendet. Es wird eine Spannung von 15 Volt für 5 Minuten angelegt. Danach wird das Alumin</w:t>
      </w:r>
      <w:r>
        <w:t>i</w:t>
      </w:r>
      <w:r>
        <w:t xml:space="preserve">umblech mit destilliertem Wasser abgespült und für 5 Minuten in eine 95 °C warme </w:t>
      </w:r>
      <w:proofErr w:type="spellStart"/>
      <w:r>
        <w:t>Eosinlösung</w:t>
      </w:r>
      <w:proofErr w:type="spellEnd"/>
      <w:r>
        <w:t xml:space="preserve"> gelegt. Anschließend wird das Blech erneut abg</w:t>
      </w:r>
      <w:r>
        <w:t>e</w:t>
      </w:r>
      <w:r>
        <w:t xml:space="preserve">spült und für 10 Minuten in destilliertem Wasser gekocht. </w:t>
      </w:r>
    </w:p>
    <w:p w:rsidR="00CA3780" w:rsidRDefault="00CA3780" w:rsidP="00CA378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Das Aluminiumblech überzieht sich mit einer weißen Schicht. Die </w:t>
      </w:r>
      <w:proofErr w:type="spellStart"/>
      <w:r>
        <w:t>Eosinlösung</w:t>
      </w:r>
      <w:proofErr w:type="spellEnd"/>
      <w:r>
        <w:t xml:space="preserve"> verfärbt das Blech teilweise rosa. </w:t>
      </w:r>
    </w:p>
    <w:p w:rsidR="00CA3780" w:rsidRDefault="00CA3780" w:rsidP="00CA3780">
      <w:pPr>
        <w:keepNext/>
        <w:tabs>
          <w:tab w:val="left" w:pos="1701"/>
          <w:tab w:val="left" w:pos="1985"/>
        </w:tabs>
        <w:ind w:left="1980" w:hanging="1980"/>
      </w:pPr>
    </w:p>
    <w:p w:rsidR="00CA3780" w:rsidRDefault="00CA3780" w:rsidP="00CA3780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524000" cy="1504950"/>
            <wp:effectExtent l="19050" t="0" r="0" b="0"/>
            <wp:docPr id="10" name="Grafik 0" descr="IMG_8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65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495425" cy="1504950"/>
            <wp:effectExtent l="19050" t="0" r="9525" b="0"/>
            <wp:docPr id="11" name="Grafik 2" descr="IMG_8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71.JP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780" w:rsidRDefault="00CA3780" w:rsidP="00CA3780">
      <w:pPr>
        <w:pStyle w:val="Beschriftung"/>
        <w:ind w:firstLine="1985"/>
        <w:jc w:val="left"/>
      </w:pPr>
      <w:r>
        <w:t xml:space="preserve">Abb. 2 - </w:t>
      </w:r>
      <w:r>
        <w:rPr>
          <w:noProof/>
        </w:rPr>
        <w:t xml:space="preserve"> Eloxiertes und gefärbtes Aluminium.</w:t>
      </w:r>
    </w:p>
    <w:p w:rsidR="00CA3780" w:rsidRDefault="00CA3780" w:rsidP="00CA3780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Die weiße Schicht besteht aus Aluminiumoxid. Sie dient der Passivierung des Metalls und stellt eine Art „Schutzschicht“ dar. Die Reaktionen, die an den Elektroden ablaufen sind folgende:</w:t>
      </w:r>
    </w:p>
    <w:p w:rsidR="00CA3780" w:rsidRPr="00675C07" w:rsidRDefault="00CA3780" w:rsidP="00CA378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Kathode: </m:t>
          </m:r>
          <m:r>
            <w:rPr>
              <w:rFonts w:ascii="Cambria Math" w:eastAsiaTheme="minorEastAsia" w:hAnsi="Cambria Math"/>
            </w:rPr>
            <m:t xml:space="preserve">2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aq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</w:rPr>
                <m:t>+</m:t>
              </m:r>
            </m:sup>
          </m:sSubSup>
          <m:r>
            <w:rPr>
              <w:rFonts w:ascii="Cambria Math" w:eastAsiaTheme="minorEastAsia" w:hAnsi="Cambria Math"/>
            </w:rPr>
            <m:t xml:space="preserve">+ 2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  <m:r>
            <w:rPr>
              <w:rFonts w:ascii="Cambria Math" w:eastAsiaTheme="minorEastAsia" w:hAnsi="Cambria Math"/>
            </w:rPr>
            <m:t xml:space="preserve">→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</m:d>
            </m:sub>
          </m:sSub>
        </m:oMath>
      </m:oMathPara>
    </w:p>
    <w:p w:rsidR="00CA3780" w:rsidRPr="005B281F" w:rsidRDefault="00CA3780" w:rsidP="00CA378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Anode: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 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→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4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aq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</w:rPr>
                <m:t>+</m:t>
              </m:r>
            </m:sup>
          </m:sSubSup>
          <m:r>
            <w:rPr>
              <w:rFonts w:ascii="Cambria Math" w:eastAsiaTheme="minorEastAsia" w:hAnsi="Cambria Math"/>
            </w:rPr>
            <m:t xml:space="preserve">+ 4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  <m:r>
            <w:rPr>
              <w:rFonts w:ascii="Cambria Math" w:eastAsiaTheme="minorEastAsia" w:hAnsi="Cambria Math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</m:d>
            </m:sub>
          </m:sSub>
        </m:oMath>
      </m:oMathPara>
    </w:p>
    <w:p w:rsidR="00CA3780" w:rsidRDefault="00CA3780" w:rsidP="00CA3780">
      <w:pPr>
        <w:tabs>
          <w:tab w:val="left" w:pos="1701"/>
          <w:tab w:val="left" w:pos="2127"/>
        </w:tabs>
        <w:ind w:left="2127"/>
        <w:rPr>
          <w:rFonts w:eastAsiaTheme="minorEastAsia"/>
        </w:rPr>
      </w:pPr>
      <w:r>
        <w:rPr>
          <w:rFonts w:eastAsiaTheme="minorEastAsia"/>
        </w:rPr>
        <w:t xml:space="preserve">Das Aluminium reagiert mit dem Sauerstoff, der an der Anode entsteht zu </w:t>
      </w:r>
      <w:proofErr w:type="spellStart"/>
      <w:r>
        <w:rPr>
          <w:rFonts w:eastAsiaTheme="minorEastAsia"/>
        </w:rPr>
        <w:t>Aliminiumoxid</w:t>
      </w:r>
      <w:proofErr w:type="spellEnd"/>
      <w:r>
        <w:rPr>
          <w:rFonts w:eastAsiaTheme="minorEastAsia"/>
        </w:rPr>
        <w:t>:</w:t>
      </w:r>
    </w:p>
    <w:p w:rsidR="00CA3780" w:rsidRDefault="00CA3780" w:rsidP="00CA378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2A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 xml:space="preserve">+ 3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2(g)</m:t>
              </m:r>
            </m:sub>
          </m:sSub>
          <m:r>
            <w:rPr>
              <w:rFonts w:ascii="Cambria Math" w:eastAsiaTheme="minorEastAsia" w:hAnsi="Cambria Math"/>
            </w:rPr>
            <m:t>→A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3 (s)</m:t>
              </m:r>
            </m:sub>
          </m:sSub>
        </m:oMath>
      </m:oMathPara>
    </w:p>
    <w:p w:rsidR="00CA3780" w:rsidRPr="005B281F" w:rsidRDefault="00CA3780" w:rsidP="00CA3780">
      <w:pPr>
        <w:tabs>
          <w:tab w:val="left" w:pos="1701"/>
          <w:tab w:val="left" w:pos="2127"/>
        </w:tabs>
        <w:ind w:left="2127"/>
        <w:rPr>
          <w:rFonts w:eastAsiaTheme="minorEastAsia"/>
        </w:rPr>
      </w:pPr>
      <w:r>
        <w:rPr>
          <w:rFonts w:eastAsiaTheme="minorEastAsia"/>
        </w:rPr>
        <w:t xml:space="preserve">Beim adsorptiven Färben mit dem organischen Farbstoff Eosin lagern sich die Farbstoffmoleküle vorwiegend in den oberen Poren der </w:t>
      </w:r>
      <w:proofErr w:type="spellStart"/>
      <w:r>
        <w:rPr>
          <w:rFonts w:eastAsiaTheme="minorEastAsia"/>
        </w:rPr>
        <w:t>Eloxalschicht</w:t>
      </w:r>
      <w:proofErr w:type="spellEnd"/>
      <w:r>
        <w:rPr>
          <w:rFonts w:eastAsiaTheme="minorEastAsia"/>
        </w:rPr>
        <w:t xml:space="preserve"> an und gehen Bindungen mit der Oxidschicht ein. </w:t>
      </w:r>
    </w:p>
    <w:p w:rsidR="00CA3780" w:rsidRDefault="00CA3780" w:rsidP="00CA3780">
      <w:pPr>
        <w:ind w:left="2127" w:hanging="2127"/>
      </w:pPr>
      <w:r>
        <w:t>Entsorgung:</w:t>
      </w:r>
      <w:r>
        <w:tab/>
        <w:t xml:space="preserve">Das Aluminiumblech kann gereinigt und wiederverwendet werden. Die Elektrolytlösung muss neutralisiert werden und kann im Abfluss entsorgt werden. </w:t>
      </w:r>
    </w:p>
    <w:p w:rsidR="00CA3780" w:rsidRDefault="00CA3780" w:rsidP="00CA3780">
      <w:pPr>
        <w:ind w:left="2127" w:hanging="2127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rPr>
          <w:color w:val="auto"/>
        </w:rPr>
        <w:t xml:space="preserve">Blume R. (06.11.2013): </w:t>
      </w:r>
      <w:r w:rsidRPr="004E2738">
        <w:rPr>
          <w:i/>
          <w:color w:val="auto"/>
        </w:rPr>
        <w:t xml:space="preserve">Versuch: </w:t>
      </w:r>
      <w:proofErr w:type="spellStart"/>
      <w:r w:rsidRPr="004E2738">
        <w:rPr>
          <w:i/>
          <w:color w:val="auto"/>
        </w:rPr>
        <w:t>Eloxalverfahren</w:t>
      </w:r>
      <w:proofErr w:type="spellEnd"/>
      <w:r>
        <w:rPr>
          <w:color w:val="auto"/>
        </w:rPr>
        <w:t xml:space="preserve">. In : </w:t>
      </w:r>
      <w:r w:rsidRPr="004E2738">
        <w:rPr>
          <w:color w:val="auto"/>
        </w:rPr>
        <w:t>http://www.chemieunterricht.de/dc2/echemie/eloxalv.htm</w:t>
      </w:r>
      <w:r>
        <w:rPr>
          <w:color w:val="auto"/>
        </w:rPr>
        <w:t xml:space="preserve"> [Zuletzt a</w:t>
      </w:r>
      <w:r>
        <w:rPr>
          <w:color w:val="auto"/>
        </w:rPr>
        <w:t>b</w:t>
      </w:r>
      <w:r>
        <w:rPr>
          <w:color w:val="auto"/>
        </w:rPr>
        <w:t>gerufen am 11.08.2015 um 17:14].</w:t>
      </w:r>
    </w:p>
    <w:p w:rsidR="00CA3780" w:rsidRDefault="00CA3780" w:rsidP="00CA3780">
      <w:pPr>
        <w:ind w:left="2127" w:hanging="2127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2D0FD0" w:rsidRDefault="002D0FD0"/>
    <w:sectPr w:rsidR="002D0FD0" w:rsidSect="002D0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780"/>
    <w:rsid w:val="00022321"/>
    <w:rsid w:val="0007412D"/>
    <w:rsid w:val="002D0FD0"/>
    <w:rsid w:val="004965DA"/>
    <w:rsid w:val="004A0535"/>
    <w:rsid w:val="00663889"/>
    <w:rsid w:val="0087773D"/>
    <w:rsid w:val="009D3E5B"/>
    <w:rsid w:val="00B63E5E"/>
    <w:rsid w:val="00CA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78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378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378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378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378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378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378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378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378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378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378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378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378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37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37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37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37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37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37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A3780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780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1720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2015-08-26T13:15:00Z</dcterms:created>
  <dcterms:modified xsi:type="dcterms:W3CDTF">2015-08-26T13:16:00Z</dcterms:modified>
</cp:coreProperties>
</file>