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4AC" w:rsidRDefault="00AC31DD">
      <w:pPr>
        <w:pStyle w:val="berschrift2"/>
      </w:pPr>
      <w:bookmarkStart w:id="0" w:name="_Toc458498602"/>
      <w:bookmarkStart w:id="1" w:name="_GoBack"/>
      <w:bookmarkEnd w:id="1"/>
      <w:r>
        <w:rPr>
          <w:noProof/>
          <w:lang w:eastAsia="de-DE"/>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513719</wp:posOffset>
                </wp:positionV>
                <wp:extent cx="5873118" cy="1609728"/>
                <wp:effectExtent l="0" t="0" r="13332" b="28572"/>
                <wp:wrapSquare wrapText="bothSides"/>
                <wp:docPr id="1" name="Text Box 60"/>
                <wp:cNvGraphicFramePr/>
                <a:graphic xmlns:a="http://schemas.openxmlformats.org/drawingml/2006/main">
                  <a:graphicData uri="http://schemas.microsoft.com/office/word/2010/wordprocessingShape">
                    <wps:wsp>
                      <wps:cNvSpPr txBox="1"/>
                      <wps:spPr>
                        <a:xfrm>
                          <a:off x="0" y="0"/>
                          <a:ext cx="5873118" cy="1609728"/>
                        </a:xfrm>
                        <a:prstGeom prst="rect">
                          <a:avLst/>
                        </a:prstGeom>
                        <a:solidFill>
                          <a:srgbClr val="FFFFFF"/>
                        </a:solidFill>
                        <a:ln w="12701">
                          <a:solidFill>
                            <a:srgbClr val="4472C4"/>
                          </a:solidFill>
                          <a:prstDash val="dash"/>
                        </a:ln>
                      </wps:spPr>
                      <wps:txbx>
                        <w:txbxContent>
                          <w:p w:rsidR="004724AC" w:rsidRDefault="00AC31DD">
                            <w:pPr>
                              <w:rPr>
                                <w:color w:val="auto"/>
                              </w:rPr>
                            </w:pPr>
                            <w:r>
                              <w:rPr>
                                <w:color w:val="auto"/>
                              </w:rPr>
                              <w:t>In diesem Versuch kann die Konzentrations- und Temperaturabhängigkeit der Gleichgewichtslage qualitativ untersucht und das Prinzip von Le Chatelier eingeführt oder vertieft werden.</w:t>
                            </w:r>
                            <w:r>
                              <w:rPr>
                                <w:color w:val="auto"/>
                              </w:rPr>
                              <w:t xml:space="preserve"> Als Einführungsversuch muss kein Vorwissen bezüglich des chemischen Gleichgewichtes vonseiten der SuS vorhanden sein. Die Begriffe exotherme und endotherme Reaktion werden als Vorwissen aus der Unterstufe vorausgesetzt. Als Übungsexperiment muss den SuS d</w:t>
                            </w:r>
                            <w:r>
                              <w:rPr>
                                <w:color w:val="auto"/>
                              </w:rPr>
                              <w:t xml:space="preserve">as Prinzip von Le Chatelier bekannt sein, um die Beobachtungen erklären zu können. </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0;margin-top:40.45pt;width:462.45pt;height:126.7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" strokecolor="#4472c4" strokeweight=".35281mm">
                <v:stroke dashstyle="dash"/>
                <v:textbox>
                  <w:txbxContent>
                    <w:p w:rsidR="004724AC" w:rsidRDefault="00AC31DD">
                      <w:pPr>
                        <w:rPr>
                          <w:color w:val="auto"/>
                        </w:rPr>
                      </w:pPr>
                      <w:r>
                        <w:rPr>
                          <w:color w:val="auto"/>
                        </w:rPr>
                        <w:t>In diesem Versuch kann die Konzentrations- und Temperaturabhängigkeit der Gleichgewichtslage qualitativ untersucht und das Prinzip von Le Chatelier eingeführt oder vertieft werden.</w:t>
                      </w:r>
                      <w:r>
                        <w:rPr>
                          <w:color w:val="auto"/>
                        </w:rPr>
                        <w:t xml:space="preserve"> Als Einführungsversuch muss kein Vorwissen bezüglich des chemischen Gleichgewichtes vonseiten der SuS vorhanden sein. Die Begriffe exotherme und endotherme Reaktion werden als Vorwissen aus der Unterstufe vorausgesetzt. Als Übungsexperiment muss den SuS d</w:t>
                      </w:r>
                      <w:r>
                        <w:rPr>
                          <w:color w:val="auto"/>
                        </w:rPr>
                        <w:t xml:space="preserve">as Prinzip von Le Chatelier bekannt sein, um die Beobachtungen erklären zu können. </w:t>
                      </w:r>
                    </w:p>
                  </w:txbxContent>
                </v:textbox>
                <w10:wrap type="square" anchorx="margin"/>
              </v:shape>
            </w:pict>
          </mc:Fallback>
        </mc:AlternateContent>
      </w:r>
      <w:r>
        <w:t>V3 – Eisenthiocyanat- Gleichgewicht</w:t>
      </w:r>
      <w:bookmarkEnd w:id="0"/>
      <w:r>
        <w:t xml:space="preserve"> </w:t>
      </w:r>
    </w:p>
    <w:p w:rsidR="004724AC" w:rsidRDefault="004724AC"/>
    <w:tbl>
      <w:tblPr>
        <w:tblW w:w="9322" w:type="dxa"/>
        <w:tblLayout w:type="fixed"/>
        <w:tblCellMar>
          <w:left w:w="10" w:type="dxa"/>
          <w:right w:w="10" w:type="dxa"/>
        </w:tblCellMar>
        <w:tblLook w:val="0000" w:firstRow="0" w:lastRow="0" w:firstColumn="0" w:lastColumn="0" w:noHBand="0" w:noVBand="0"/>
      </w:tblPr>
      <w:tblGrid>
        <w:gridCol w:w="1009"/>
        <w:gridCol w:w="1009"/>
        <w:gridCol w:w="1009"/>
        <w:gridCol w:w="1009"/>
        <w:gridCol w:w="1175"/>
        <w:gridCol w:w="993"/>
        <w:gridCol w:w="975"/>
        <w:gridCol w:w="1009"/>
        <w:gridCol w:w="1134"/>
      </w:tblGrid>
      <w:tr w:rsidR="004724AC">
        <w:tblPrEx>
          <w:tblCellMar>
            <w:top w:w="0" w:type="dxa"/>
            <w:bottom w:w="0" w:type="dxa"/>
          </w:tblCellMar>
        </w:tblPrEx>
        <w:tc>
          <w:tcPr>
            <w:tcW w:w="9322" w:type="dxa"/>
            <w:gridSpan w:val="9"/>
            <w:tcBorders>
              <w:top w:val="single" w:sz="8" w:space="0" w:color="4F81BD"/>
              <w:left w:val="single" w:sz="8" w:space="0" w:color="4F81BD"/>
              <w:right w:val="single" w:sz="8" w:space="0" w:color="4F81BD"/>
            </w:tcBorders>
            <w:shd w:val="clear" w:color="auto" w:fill="4F81BD"/>
            <w:tcMar>
              <w:top w:w="0" w:type="dxa"/>
              <w:left w:w="108" w:type="dxa"/>
              <w:bottom w:w="0" w:type="dxa"/>
              <w:right w:w="108" w:type="dxa"/>
            </w:tcMar>
            <w:vAlign w:val="center"/>
          </w:tcPr>
          <w:p w:rsidR="004724AC" w:rsidRDefault="00AC31DD">
            <w:pPr>
              <w:spacing w:after="0"/>
              <w:jc w:val="center"/>
              <w:rPr>
                <w:b/>
                <w:bCs/>
                <w:color w:val="FFFFFF"/>
              </w:rPr>
            </w:pPr>
            <w:r>
              <w:rPr>
                <w:b/>
                <w:bCs/>
                <w:color w:val="FFFFFF"/>
              </w:rPr>
              <w:t>Gefahrenstoffe</w:t>
            </w:r>
          </w:p>
        </w:tc>
      </w:tr>
      <w:tr w:rsidR="004724AC">
        <w:tblPrEx>
          <w:tblCellMar>
            <w:top w:w="0" w:type="dxa"/>
            <w:bottom w:w="0" w:type="dxa"/>
          </w:tblCellMar>
        </w:tblPrEx>
        <w:trPr>
          <w:trHeight w:val="437"/>
        </w:trPr>
        <w:tc>
          <w:tcPr>
            <w:tcW w:w="3027" w:type="dxa"/>
            <w:gridSpan w:val="3"/>
            <w:tcBorders>
              <w:top w:val="single" w:sz="8" w:space="0" w:color="4F81BD"/>
              <w:left w:val="single" w:sz="8" w:space="0" w:color="4F81BD"/>
              <w:bottom w:val="single" w:sz="8" w:space="0" w:color="4F81BD"/>
            </w:tcBorders>
            <w:shd w:val="clear" w:color="auto" w:fill="auto"/>
            <w:tcMar>
              <w:top w:w="0" w:type="dxa"/>
              <w:left w:w="108" w:type="dxa"/>
              <w:bottom w:w="0" w:type="dxa"/>
              <w:right w:w="108" w:type="dxa"/>
            </w:tcMar>
            <w:vAlign w:val="center"/>
          </w:tcPr>
          <w:p w:rsidR="004724AC" w:rsidRDefault="00AC31DD">
            <w:pPr>
              <w:spacing w:after="0" w:line="240" w:lineRule="auto"/>
              <w:jc w:val="center"/>
            </w:pPr>
            <w:r>
              <w:rPr>
                <w:sz w:val="20"/>
              </w:rPr>
              <w:t>Eisen(III)-chlorid</w:t>
            </w:r>
          </w:p>
        </w:tc>
        <w:tc>
          <w:tcPr>
            <w:tcW w:w="3177" w:type="dxa"/>
            <w:gridSpan w:val="3"/>
            <w:tcBorders>
              <w:top w:val="single" w:sz="8" w:space="0" w:color="4F81BD"/>
              <w:bottom w:val="single" w:sz="8" w:space="0" w:color="4F81BD"/>
            </w:tcBorders>
            <w:shd w:val="clear" w:color="auto" w:fill="auto"/>
            <w:tcMar>
              <w:top w:w="0" w:type="dxa"/>
              <w:left w:w="108" w:type="dxa"/>
              <w:bottom w:w="0" w:type="dxa"/>
              <w:right w:w="108" w:type="dxa"/>
            </w:tcMar>
            <w:vAlign w:val="center"/>
          </w:tcPr>
          <w:p w:rsidR="004724AC" w:rsidRDefault="00AC31DD">
            <w:pPr>
              <w:spacing w:after="0" w:line="240" w:lineRule="auto"/>
              <w:jc w:val="left"/>
              <w:rPr>
                <w:sz w:val="20"/>
              </w:rPr>
            </w:pPr>
            <w:r>
              <w:rPr>
                <w:sz w:val="20"/>
              </w:rPr>
              <w:t>H: 302​‐​315​‐​318​‐​317</w:t>
            </w:r>
          </w:p>
        </w:tc>
        <w:tc>
          <w:tcPr>
            <w:tcW w:w="3118" w:type="dxa"/>
            <w:gridSpan w:val="3"/>
            <w:tcBorders>
              <w:top w:val="single" w:sz="8" w:space="0" w:color="4F81BD"/>
              <w:bottom w:val="single" w:sz="8" w:space="0" w:color="4F81BD"/>
              <w:right w:val="single" w:sz="8" w:space="0" w:color="4F81BD"/>
            </w:tcBorders>
            <w:shd w:val="clear" w:color="auto" w:fill="auto"/>
            <w:tcMar>
              <w:top w:w="0" w:type="dxa"/>
              <w:left w:w="108" w:type="dxa"/>
              <w:bottom w:w="0" w:type="dxa"/>
              <w:right w:w="108" w:type="dxa"/>
            </w:tcMar>
            <w:vAlign w:val="center"/>
          </w:tcPr>
          <w:p w:rsidR="004724AC" w:rsidRDefault="00AC31DD">
            <w:pPr>
              <w:spacing w:after="0" w:line="240" w:lineRule="auto"/>
              <w:jc w:val="left"/>
              <w:rPr>
                <w:sz w:val="20"/>
              </w:rPr>
            </w:pPr>
            <w:r>
              <w:rPr>
                <w:sz w:val="20"/>
              </w:rPr>
              <w:t>P: 280​‐​301+312​‐​302+352​‐​305+351+338​‐​310​‐​501</w:t>
            </w:r>
          </w:p>
        </w:tc>
      </w:tr>
      <w:tr w:rsidR="004724AC">
        <w:tblPrEx>
          <w:tblCellMar>
            <w:top w:w="0" w:type="dxa"/>
            <w:bottom w:w="0" w:type="dxa"/>
          </w:tblCellMar>
        </w:tblPrEx>
        <w:trPr>
          <w:trHeight w:val="437"/>
        </w:trPr>
        <w:tc>
          <w:tcPr>
            <w:tcW w:w="3027" w:type="dxa"/>
            <w:gridSpan w:val="3"/>
            <w:tcBorders>
              <w:top w:val="single" w:sz="8" w:space="0" w:color="4F81BD"/>
              <w:left w:val="single" w:sz="8" w:space="0" w:color="4F81BD"/>
              <w:bottom w:val="single" w:sz="8" w:space="0" w:color="4F81BD"/>
            </w:tcBorders>
            <w:shd w:val="clear" w:color="auto" w:fill="auto"/>
            <w:tcMar>
              <w:top w:w="0" w:type="dxa"/>
              <w:left w:w="108" w:type="dxa"/>
              <w:bottom w:w="0" w:type="dxa"/>
              <w:right w:w="108" w:type="dxa"/>
            </w:tcMar>
            <w:vAlign w:val="center"/>
          </w:tcPr>
          <w:p w:rsidR="004724AC" w:rsidRDefault="00AC31DD">
            <w:pPr>
              <w:spacing w:after="0" w:line="240" w:lineRule="auto"/>
              <w:jc w:val="center"/>
              <w:rPr>
                <w:sz w:val="20"/>
              </w:rPr>
            </w:pPr>
            <w:r>
              <w:rPr>
                <w:sz w:val="20"/>
              </w:rPr>
              <w:t>Ammoniumthiocyanat</w:t>
            </w:r>
          </w:p>
        </w:tc>
        <w:tc>
          <w:tcPr>
            <w:tcW w:w="3177" w:type="dxa"/>
            <w:gridSpan w:val="3"/>
            <w:tcBorders>
              <w:top w:val="single" w:sz="8" w:space="0" w:color="4F81BD"/>
              <w:bottom w:val="single" w:sz="8" w:space="0" w:color="4F81BD"/>
            </w:tcBorders>
            <w:shd w:val="clear" w:color="auto" w:fill="auto"/>
            <w:tcMar>
              <w:top w:w="0" w:type="dxa"/>
              <w:left w:w="108" w:type="dxa"/>
              <w:bottom w:w="0" w:type="dxa"/>
              <w:right w:w="108" w:type="dxa"/>
            </w:tcMar>
            <w:vAlign w:val="center"/>
          </w:tcPr>
          <w:p w:rsidR="004724AC" w:rsidRDefault="00AC31DD">
            <w:pPr>
              <w:spacing w:after="0" w:line="240" w:lineRule="auto"/>
              <w:jc w:val="left"/>
              <w:rPr>
                <w:sz w:val="20"/>
              </w:rPr>
            </w:pPr>
            <w:r>
              <w:rPr>
                <w:sz w:val="20"/>
              </w:rPr>
              <w:t>H: 302+312+332​‐​412</w:t>
            </w:r>
          </w:p>
        </w:tc>
        <w:tc>
          <w:tcPr>
            <w:tcW w:w="3118" w:type="dxa"/>
            <w:gridSpan w:val="3"/>
            <w:tcBorders>
              <w:top w:val="single" w:sz="8" w:space="0" w:color="4F81BD"/>
              <w:bottom w:val="single" w:sz="8" w:space="0" w:color="4F81BD"/>
              <w:right w:val="single" w:sz="8" w:space="0" w:color="4F81BD"/>
            </w:tcBorders>
            <w:shd w:val="clear" w:color="auto" w:fill="auto"/>
            <w:tcMar>
              <w:top w:w="0" w:type="dxa"/>
              <w:left w:w="108" w:type="dxa"/>
              <w:bottom w:w="0" w:type="dxa"/>
              <w:right w:w="108" w:type="dxa"/>
            </w:tcMar>
            <w:vAlign w:val="center"/>
          </w:tcPr>
          <w:p w:rsidR="004724AC" w:rsidRDefault="00AC31DD">
            <w:pPr>
              <w:spacing w:after="0" w:line="240" w:lineRule="auto"/>
              <w:jc w:val="left"/>
              <w:rPr>
                <w:sz w:val="20"/>
              </w:rPr>
            </w:pPr>
            <w:r>
              <w:rPr>
                <w:sz w:val="20"/>
              </w:rPr>
              <w:t>P: 273​‐​302+352</w:t>
            </w:r>
          </w:p>
        </w:tc>
      </w:tr>
      <w:tr w:rsidR="004724AC">
        <w:tblPrEx>
          <w:tblCellMar>
            <w:top w:w="0" w:type="dxa"/>
            <w:bottom w:w="0" w:type="dxa"/>
          </w:tblCellMar>
        </w:tblPrEx>
        <w:trPr>
          <w:trHeight w:val="434"/>
        </w:trPr>
        <w:tc>
          <w:tcPr>
            <w:tcW w:w="3027" w:type="dxa"/>
            <w:gridSpan w:val="3"/>
            <w:tcBorders>
              <w:left w:val="single" w:sz="8" w:space="0" w:color="4F81BD"/>
            </w:tcBorders>
            <w:shd w:val="clear" w:color="auto" w:fill="auto"/>
            <w:tcMar>
              <w:top w:w="0" w:type="dxa"/>
              <w:left w:w="108" w:type="dxa"/>
              <w:bottom w:w="0" w:type="dxa"/>
              <w:right w:w="108" w:type="dxa"/>
            </w:tcMar>
            <w:vAlign w:val="center"/>
          </w:tcPr>
          <w:p w:rsidR="004724AC" w:rsidRDefault="00AC31DD">
            <w:pPr>
              <w:spacing w:after="0" w:line="240" w:lineRule="auto"/>
              <w:jc w:val="center"/>
            </w:pPr>
            <w:r>
              <w:rPr>
                <w:color w:val="auto"/>
                <w:sz w:val="20"/>
                <w:szCs w:val="20"/>
              </w:rPr>
              <w:t>Ammoniumchlorid</w:t>
            </w:r>
          </w:p>
        </w:tc>
        <w:tc>
          <w:tcPr>
            <w:tcW w:w="3177" w:type="dxa"/>
            <w:gridSpan w:val="3"/>
            <w:shd w:val="clear" w:color="auto" w:fill="auto"/>
            <w:tcMar>
              <w:top w:w="0" w:type="dxa"/>
              <w:left w:w="108" w:type="dxa"/>
              <w:bottom w:w="0" w:type="dxa"/>
              <w:right w:w="108" w:type="dxa"/>
            </w:tcMar>
            <w:vAlign w:val="center"/>
          </w:tcPr>
          <w:p w:rsidR="004724AC" w:rsidRDefault="00AC31DD">
            <w:pPr>
              <w:pStyle w:val="Beschriftung"/>
              <w:spacing w:after="0"/>
              <w:jc w:val="left"/>
              <w:rPr>
                <w:sz w:val="20"/>
              </w:rPr>
            </w:pPr>
            <w:r>
              <w:rPr>
                <w:sz w:val="20"/>
              </w:rPr>
              <w:t>H: 302​‐​319</w:t>
            </w:r>
          </w:p>
        </w:tc>
        <w:tc>
          <w:tcPr>
            <w:tcW w:w="3118" w:type="dxa"/>
            <w:gridSpan w:val="3"/>
            <w:tcBorders>
              <w:right w:val="single" w:sz="8" w:space="0" w:color="4F81BD"/>
            </w:tcBorders>
            <w:shd w:val="clear" w:color="auto" w:fill="auto"/>
            <w:tcMar>
              <w:top w:w="0" w:type="dxa"/>
              <w:left w:w="108" w:type="dxa"/>
              <w:bottom w:w="0" w:type="dxa"/>
              <w:right w:w="108" w:type="dxa"/>
            </w:tcMar>
            <w:vAlign w:val="center"/>
          </w:tcPr>
          <w:p w:rsidR="004724AC" w:rsidRDefault="00AC31DD">
            <w:pPr>
              <w:pStyle w:val="Beschriftung"/>
              <w:spacing w:after="0"/>
              <w:jc w:val="left"/>
              <w:rPr>
                <w:sz w:val="20"/>
              </w:rPr>
            </w:pPr>
            <w:r>
              <w:rPr>
                <w:sz w:val="20"/>
              </w:rPr>
              <w:t>P: 305+351+338</w:t>
            </w:r>
          </w:p>
        </w:tc>
      </w:tr>
      <w:tr w:rsidR="004724AC">
        <w:tblPrEx>
          <w:tblCellMar>
            <w:top w:w="0" w:type="dxa"/>
            <w:bottom w:w="0" w:type="dxa"/>
          </w:tblCellMar>
        </w:tblPrEx>
        <w:trPr>
          <w:trHeight w:val="437"/>
        </w:trPr>
        <w:tc>
          <w:tcPr>
            <w:tcW w:w="3027" w:type="dxa"/>
            <w:gridSpan w:val="3"/>
            <w:tcBorders>
              <w:top w:val="single" w:sz="8" w:space="0" w:color="4F81BD"/>
              <w:left w:val="single" w:sz="8" w:space="0" w:color="4F81BD"/>
              <w:bottom w:val="single" w:sz="8" w:space="0" w:color="4F81BD"/>
            </w:tcBorders>
            <w:shd w:val="clear" w:color="auto" w:fill="auto"/>
            <w:tcMar>
              <w:top w:w="0" w:type="dxa"/>
              <w:left w:w="108" w:type="dxa"/>
              <w:bottom w:w="0" w:type="dxa"/>
              <w:right w:w="108" w:type="dxa"/>
            </w:tcMar>
            <w:vAlign w:val="center"/>
          </w:tcPr>
          <w:p w:rsidR="004724AC" w:rsidRDefault="00AC31DD">
            <w:pPr>
              <w:spacing w:after="0" w:line="240" w:lineRule="auto"/>
              <w:jc w:val="center"/>
            </w:pPr>
            <w:r>
              <w:rPr>
                <w:sz w:val="20"/>
              </w:rPr>
              <w:t xml:space="preserve">Wasser </w:t>
            </w:r>
          </w:p>
        </w:tc>
        <w:tc>
          <w:tcPr>
            <w:tcW w:w="3177" w:type="dxa"/>
            <w:gridSpan w:val="3"/>
            <w:tcBorders>
              <w:top w:val="single" w:sz="8" w:space="0" w:color="4F81BD"/>
              <w:bottom w:val="single" w:sz="8" w:space="0" w:color="4F81BD"/>
            </w:tcBorders>
            <w:shd w:val="clear" w:color="auto" w:fill="auto"/>
            <w:tcMar>
              <w:top w:w="0" w:type="dxa"/>
              <w:left w:w="108" w:type="dxa"/>
              <w:bottom w:w="0" w:type="dxa"/>
              <w:right w:w="108" w:type="dxa"/>
            </w:tcMar>
            <w:vAlign w:val="center"/>
          </w:tcPr>
          <w:p w:rsidR="004724AC" w:rsidRDefault="00AC31DD">
            <w:pPr>
              <w:spacing w:after="0" w:line="240" w:lineRule="auto"/>
              <w:jc w:val="left"/>
            </w:pPr>
            <w:r>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tcMar>
              <w:top w:w="0" w:type="dxa"/>
              <w:left w:w="108" w:type="dxa"/>
              <w:bottom w:w="0" w:type="dxa"/>
              <w:right w:w="108" w:type="dxa"/>
            </w:tcMar>
            <w:vAlign w:val="center"/>
          </w:tcPr>
          <w:p w:rsidR="004724AC" w:rsidRDefault="00AC31DD">
            <w:pPr>
              <w:spacing w:after="0" w:line="240" w:lineRule="auto"/>
              <w:jc w:val="left"/>
            </w:pPr>
            <w:r>
              <w:rPr>
                <w:sz w:val="20"/>
              </w:rPr>
              <w:t xml:space="preserve">P: </w:t>
            </w:r>
            <w:r>
              <w:t>-</w:t>
            </w:r>
          </w:p>
        </w:tc>
      </w:tr>
      <w:tr w:rsidR="004724AC">
        <w:tblPrEx>
          <w:tblCellMar>
            <w:top w:w="0" w:type="dxa"/>
            <w:bottom w:w="0" w:type="dxa"/>
          </w:tblCellMar>
        </w:tblPrEx>
        <w:tc>
          <w:tcPr>
            <w:tcW w:w="1009" w:type="dxa"/>
            <w:tcBorders>
              <w:top w:val="single" w:sz="8" w:space="0" w:color="4F81BD"/>
              <w:left w:val="single" w:sz="8" w:space="0" w:color="4F81BD"/>
              <w:bottom w:val="single" w:sz="8" w:space="0" w:color="4F81BD"/>
            </w:tcBorders>
            <w:shd w:val="clear" w:color="auto" w:fill="auto"/>
            <w:tcMar>
              <w:top w:w="0" w:type="dxa"/>
              <w:left w:w="108" w:type="dxa"/>
              <w:bottom w:w="0" w:type="dxa"/>
              <w:right w:w="108" w:type="dxa"/>
            </w:tcMar>
            <w:vAlign w:val="center"/>
          </w:tcPr>
          <w:p w:rsidR="004724AC" w:rsidRDefault="00AC31DD">
            <w:pPr>
              <w:spacing w:after="0"/>
              <w:jc w:val="center"/>
            </w:pPr>
            <w:r>
              <w:rPr>
                <w:noProof/>
                <w:lang w:eastAsia="de-DE"/>
              </w:rPr>
              <w:drawing>
                <wp:inline distT="0" distB="0" distL="0" distR="0">
                  <wp:extent cx="542925" cy="542925"/>
                  <wp:effectExtent l="0" t="0" r="9525" b="9525"/>
                  <wp:docPr id="2" name="Bild 1" descr="05 – Ätzen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42925" cy="542925"/>
                          </a:xfrm>
                          <a:prstGeom prst="rect">
                            <a:avLst/>
                          </a:prstGeom>
                          <a:noFill/>
                          <a:ln>
                            <a:noFill/>
                            <a:prstDash/>
                          </a:ln>
                        </pic:spPr>
                      </pic:pic>
                    </a:graphicData>
                  </a:graphic>
                </wp:inline>
              </w:drawing>
            </w:r>
          </w:p>
        </w:tc>
        <w:tc>
          <w:tcPr>
            <w:tcW w:w="1009" w:type="dxa"/>
            <w:tcBorders>
              <w:top w:val="single" w:sz="8" w:space="0" w:color="4F81BD"/>
              <w:bottom w:val="single" w:sz="8" w:space="0" w:color="4F81BD"/>
            </w:tcBorders>
            <w:shd w:val="clear" w:color="auto" w:fill="auto"/>
            <w:tcMar>
              <w:top w:w="0" w:type="dxa"/>
              <w:left w:w="108" w:type="dxa"/>
              <w:bottom w:w="0" w:type="dxa"/>
              <w:right w:w="108" w:type="dxa"/>
            </w:tcMar>
            <w:vAlign w:val="center"/>
          </w:tcPr>
          <w:p w:rsidR="004724AC" w:rsidRDefault="00AC31DD">
            <w:pPr>
              <w:spacing w:after="0"/>
              <w:jc w:val="center"/>
            </w:pPr>
            <w:r>
              <w:rPr>
                <w:noProof/>
                <w:lang w:eastAsia="de-DE"/>
              </w:rPr>
              <w:drawing>
                <wp:inline distT="0" distB="0" distL="0" distR="0">
                  <wp:extent cx="504191" cy="504191"/>
                  <wp:effectExtent l="0" t="0" r="0" b="0"/>
                  <wp:docPr id="3" name="Grafik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04191" cy="504191"/>
                          </a:xfrm>
                          <a:prstGeom prst="rect">
                            <a:avLst/>
                          </a:prstGeom>
                          <a:noFill/>
                          <a:ln>
                            <a:noFill/>
                            <a:prstDash/>
                          </a:ln>
                        </pic:spPr>
                      </pic:pic>
                    </a:graphicData>
                  </a:graphic>
                </wp:inline>
              </w:drawing>
            </w:r>
          </w:p>
        </w:tc>
        <w:tc>
          <w:tcPr>
            <w:tcW w:w="1009" w:type="dxa"/>
            <w:tcBorders>
              <w:top w:val="single" w:sz="8" w:space="0" w:color="4F81BD"/>
              <w:bottom w:val="single" w:sz="8" w:space="0" w:color="4F81BD"/>
            </w:tcBorders>
            <w:shd w:val="clear" w:color="auto" w:fill="auto"/>
            <w:tcMar>
              <w:top w:w="0" w:type="dxa"/>
              <w:left w:w="108" w:type="dxa"/>
              <w:bottom w:w="0" w:type="dxa"/>
              <w:right w:w="108" w:type="dxa"/>
            </w:tcMar>
            <w:vAlign w:val="center"/>
          </w:tcPr>
          <w:p w:rsidR="004724AC" w:rsidRDefault="00AC31DD">
            <w:pPr>
              <w:spacing w:after="0"/>
              <w:jc w:val="center"/>
            </w:pPr>
            <w:r>
              <w:rPr>
                <w:noProof/>
                <w:lang w:eastAsia="de-DE"/>
              </w:rPr>
              <w:drawing>
                <wp:inline distT="0" distB="0" distL="0" distR="0">
                  <wp:extent cx="504191" cy="504191"/>
                  <wp:effectExtent l="0" t="0" r="0" b="0"/>
                  <wp:docPr id="4" name="Grafik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504191" cy="504191"/>
                          </a:xfrm>
                          <a:prstGeom prst="rect">
                            <a:avLst/>
                          </a:prstGeom>
                          <a:noFill/>
                          <a:ln>
                            <a:noFill/>
                            <a:prstDash/>
                          </a:ln>
                        </pic:spPr>
                      </pic:pic>
                    </a:graphicData>
                  </a:graphic>
                </wp:inline>
              </w:drawing>
            </w:r>
          </w:p>
        </w:tc>
        <w:tc>
          <w:tcPr>
            <w:tcW w:w="1009" w:type="dxa"/>
            <w:tcBorders>
              <w:top w:val="single" w:sz="8" w:space="0" w:color="4F81BD"/>
              <w:bottom w:val="single" w:sz="8" w:space="0" w:color="4F81BD"/>
            </w:tcBorders>
            <w:shd w:val="clear" w:color="auto" w:fill="auto"/>
            <w:tcMar>
              <w:top w:w="0" w:type="dxa"/>
              <w:left w:w="108" w:type="dxa"/>
              <w:bottom w:w="0" w:type="dxa"/>
              <w:right w:w="108" w:type="dxa"/>
            </w:tcMar>
            <w:vAlign w:val="center"/>
          </w:tcPr>
          <w:p w:rsidR="004724AC" w:rsidRDefault="00AC31DD">
            <w:pPr>
              <w:spacing w:after="0"/>
              <w:jc w:val="center"/>
            </w:pPr>
            <w:r>
              <w:rPr>
                <w:noProof/>
                <w:lang w:eastAsia="de-DE"/>
              </w:rPr>
              <w:drawing>
                <wp:inline distT="0" distB="0" distL="0" distR="0">
                  <wp:extent cx="504191" cy="504191"/>
                  <wp:effectExtent l="0" t="0" r="0" b="0"/>
                  <wp:docPr id="5" name="Grafik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04191" cy="504191"/>
                          </a:xfrm>
                          <a:prstGeom prst="rect">
                            <a:avLst/>
                          </a:prstGeom>
                          <a:noFill/>
                          <a:ln>
                            <a:noFill/>
                            <a:prstDash/>
                          </a:ln>
                        </pic:spPr>
                      </pic:pic>
                    </a:graphicData>
                  </a:graphic>
                </wp:inline>
              </w:drawing>
            </w:r>
          </w:p>
        </w:tc>
        <w:tc>
          <w:tcPr>
            <w:tcW w:w="1175" w:type="dxa"/>
            <w:tcBorders>
              <w:top w:val="single" w:sz="8" w:space="0" w:color="4F81BD"/>
              <w:bottom w:val="single" w:sz="8" w:space="0" w:color="4F81BD"/>
            </w:tcBorders>
            <w:shd w:val="clear" w:color="auto" w:fill="auto"/>
            <w:tcMar>
              <w:top w:w="0" w:type="dxa"/>
              <w:left w:w="108" w:type="dxa"/>
              <w:bottom w:w="0" w:type="dxa"/>
              <w:right w:w="108" w:type="dxa"/>
            </w:tcMar>
            <w:vAlign w:val="center"/>
          </w:tcPr>
          <w:p w:rsidR="004724AC" w:rsidRDefault="00AC31DD">
            <w:pPr>
              <w:spacing w:after="0"/>
              <w:jc w:val="center"/>
            </w:pPr>
            <w:r>
              <w:rPr>
                <w:noProof/>
                <w:lang w:eastAsia="de-DE"/>
              </w:rPr>
              <w:drawing>
                <wp:inline distT="0" distB="0" distL="0" distR="0">
                  <wp:extent cx="504191" cy="504191"/>
                  <wp:effectExtent l="0" t="0" r="0" b="0"/>
                  <wp:docPr id="6" name="Grafik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04191" cy="504191"/>
                          </a:xfrm>
                          <a:prstGeom prst="rect">
                            <a:avLst/>
                          </a:prstGeom>
                          <a:noFill/>
                          <a:ln>
                            <a:noFill/>
                            <a:prstDash/>
                          </a:ln>
                        </pic:spPr>
                      </pic:pic>
                    </a:graphicData>
                  </a:graphic>
                </wp:inline>
              </w:drawing>
            </w:r>
          </w:p>
        </w:tc>
        <w:tc>
          <w:tcPr>
            <w:tcW w:w="993" w:type="dxa"/>
            <w:tcBorders>
              <w:top w:val="single" w:sz="8" w:space="0" w:color="4F81BD"/>
              <w:bottom w:val="single" w:sz="8" w:space="0" w:color="4F81BD"/>
            </w:tcBorders>
            <w:shd w:val="clear" w:color="auto" w:fill="auto"/>
            <w:tcMar>
              <w:top w:w="0" w:type="dxa"/>
              <w:left w:w="108" w:type="dxa"/>
              <w:bottom w:w="0" w:type="dxa"/>
              <w:right w:w="108" w:type="dxa"/>
            </w:tcMar>
            <w:vAlign w:val="center"/>
          </w:tcPr>
          <w:p w:rsidR="004724AC" w:rsidRDefault="00AC31DD">
            <w:pPr>
              <w:spacing w:after="0"/>
              <w:jc w:val="center"/>
            </w:pPr>
            <w:r>
              <w:rPr>
                <w:noProof/>
                <w:lang w:eastAsia="de-DE"/>
              </w:rPr>
              <w:drawing>
                <wp:inline distT="0" distB="0" distL="0" distR="0">
                  <wp:extent cx="523878" cy="523878"/>
                  <wp:effectExtent l="0" t="0" r="9522" b="9522"/>
                  <wp:docPr id="7" name="Bild 1" descr="08 – Gesundheitsgefährden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23878" cy="523878"/>
                          </a:xfrm>
                          <a:prstGeom prst="rect">
                            <a:avLst/>
                          </a:prstGeom>
                          <a:noFill/>
                          <a:ln>
                            <a:noFill/>
                            <a:prstDash/>
                          </a:ln>
                        </pic:spPr>
                      </pic:pic>
                    </a:graphicData>
                  </a:graphic>
                </wp:inline>
              </w:drawing>
            </w:r>
          </w:p>
        </w:tc>
        <w:tc>
          <w:tcPr>
            <w:tcW w:w="975" w:type="dxa"/>
            <w:tcBorders>
              <w:top w:val="single" w:sz="8" w:space="0" w:color="4F81BD"/>
              <w:bottom w:val="single" w:sz="8" w:space="0" w:color="4F81BD"/>
            </w:tcBorders>
            <w:shd w:val="clear" w:color="auto" w:fill="auto"/>
            <w:tcMar>
              <w:top w:w="0" w:type="dxa"/>
              <w:left w:w="108" w:type="dxa"/>
              <w:bottom w:w="0" w:type="dxa"/>
              <w:right w:w="108" w:type="dxa"/>
            </w:tcMar>
            <w:vAlign w:val="center"/>
          </w:tcPr>
          <w:p w:rsidR="004724AC" w:rsidRDefault="00AC31DD">
            <w:pPr>
              <w:spacing w:after="0"/>
              <w:jc w:val="center"/>
            </w:pPr>
            <w:r>
              <w:rPr>
                <w:noProof/>
                <w:lang w:eastAsia="de-DE"/>
              </w:rPr>
              <w:drawing>
                <wp:inline distT="0" distB="0" distL="0" distR="0">
                  <wp:extent cx="504191" cy="504191"/>
                  <wp:effectExtent l="0" t="0" r="0" b="0"/>
                  <wp:docPr id="8" name="Grafik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04191" cy="504191"/>
                          </a:xfrm>
                          <a:prstGeom prst="rect">
                            <a:avLst/>
                          </a:prstGeom>
                          <a:noFill/>
                          <a:ln>
                            <a:noFill/>
                            <a:prstDash/>
                          </a:ln>
                        </pic:spPr>
                      </pic:pic>
                    </a:graphicData>
                  </a:graphic>
                </wp:inline>
              </w:drawing>
            </w:r>
          </w:p>
        </w:tc>
        <w:tc>
          <w:tcPr>
            <w:tcW w:w="1009" w:type="dxa"/>
            <w:tcBorders>
              <w:top w:val="single" w:sz="8" w:space="0" w:color="4F81BD"/>
              <w:bottom w:val="single" w:sz="8" w:space="0" w:color="4F81BD"/>
            </w:tcBorders>
            <w:shd w:val="clear" w:color="auto" w:fill="auto"/>
            <w:tcMar>
              <w:top w:w="0" w:type="dxa"/>
              <w:left w:w="108" w:type="dxa"/>
              <w:bottom w:w="0" w:type="dxa"/>
              <w:right w:w="108" w:type="dxa"/>
            </w:tcMar>
            <w:vAlign w:val="center"/>
          </w:tcPr>
          <w:p w:rsidR="004724AC" w:rsidRDefault="00AC31DD">
            <w:pPr>
              <w:spacing w:after="0"/>
              <w:jc w:val="center"/>
            </w:pPr>
            <w:r>
              <w:rPr>
                <w:noProof/>
                <w:lang w:eastAsia="de-DE"/>
              </w:rPr>
              <w:drawing>
                <wp:inline distT="0" distB="0" distL="0" distR="0">
                  <wp:extent cx="552453" cy="552453"/>
                  <wp:effectExtent l="0" t="0" r="0" b="0"/>
                  <wp:docPr id="9" name="Bild 3" descr="07 – Acht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52453" cy="552453"/>
                          </a:xfrm>
                          <a:prstGeom prst="rect">
                            <a:avLst/>
                          </a:prstGeom>
                          <a:noFill/>
                          <a:ln>
                            <a:noFill/>
                            <a:prstDash/>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tcMar>
              <w:top w:w="0" w:type="dxa"/>
              <w:left w:w="108" w:type="dxa"/>
              <w:bottom w:w="0" w:type="dxa"/>
              <w:right w:w="108" w:type="dxa"/>
            </w:tcMar>
            <w:vAlign w:val="center"/>
          </w:tcPr>
          <w:p w:rsidR="004724AC" w:rsidRDefault="00AC31DD">
            <w:pPr>
              <w:spacing w:after="0"/>
              <w:jc w:val="center"/>
            </w:pPr>
            <w:r>
              <w:rPr>
                <w:noProof/>
                <w:lang w:eastAsia="de-DE"/>
              </w:rPr>
              <w:drawing>
                <wp:inline distT="0" distB="0" distL="0" distR="0">
                  <wp:extent cx="552453" cy="552453"/>
                  <wp:effectExtent l="0" t="0" r="0" b="0"/>
                  <wp:docPr id="10" name="Bild 2" descr="09 – Umweltgefährlich"/>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52453" cy="552453"/>
                          </a:xfrm>
                          <a:prstGeom prst="rect">
                            <a:avLst/>
                          </a:prstGeom>
                          <a:noFill/>
                          <a:ln>
                            <a:noFill/>
                            <a:prstDash/>
                          </a:ln>
                        </pic:spPr>
                      </pic:pic>
                    </a:graphicData>
                  </a:graphic>
                </wp:inline>
              </w:drawing>
            </w:r>
          </w:p>
        </w:tc>
      </w:tr>
    </w:tbl>
    <w:p w:rsidR="004724AC" w:rsidRDefault="004724AC">
      <w:pPr>
        <w:tabs>
          <w:tab w:val="left" w:pos="1701"/>
          <w:tab w:val="left" w:pos="1985"/>
        </w:tabs>
        <w:ind w:left="1980" w:hanging="1980"/>
      </w:pPr>
    </w:p>
    <w:p w:rsidR="004724AC" w:rsidRDefault="00AC31DD">
      <w:pPr>
        <w:tabs>
          <w:tab w:val="left" w:pos="1701"/>
          <w:tab w:val="left" w:pos="1985"/>
        </w:tabs>
        <w:ind w:left="1980" w:hanging="1980"/>
      </w:pPr>
      <w:r>
        <w:t xml:space="preserve">Materialien: </w:t>
      </w:r>
      <w:r>
        <w:tab/>
      </w:r>
      <w:r>
        <w:tab/>
      </w:r>
      <w:r>
        <w:tab/>
        <w:t xml:space="preserve">6 Reagenzgläser, Reagenzglasständer, Holzklammer, 5 mittelgroße Bechergläser, Gasbrenner, Dreifuß mit Drahtnetz, </w:t>
      </w:r>
      <w:r>
        <w:t xml:space="preserve">Spatel  </w:t>
      </w:r>
    </w:p>
    <w:p w:rsidR="004724AC" w:rsidRDefault="00AC31DD">
      <w:pPr>
        <w:tabs>
          <w:tab w:val="left" w:pos="1701"/>
          <w:tab w:val="left" w:pos="1985"/>
        </w:tabs>
        <w:ind w:left="1980" w:hanging="1980"/>
      </w:pPr>
      <w:r>
        <w:t>Chemikalien:</w:t>
      </w:r>
      <w:r>
        <w:tab/>
      </w:r>
      <w:r>
        <w:tab/>
      </w:r>
      <w:r>
        <w:tab/>
        <w:t xml:space="preserve">Eisen(III)-chlorid, Ammoniumthiocyanat, Ammoniumchlorid, Wasser </w:t>
      </w:r>
    </w:p>
    <w:p w:rsidR="004724AC" w:rsidRDefault="00AC31DD">
      <w:pPr>
        <w:tabs>
          <w:tab w:val="left" w:pos="1701"/>
          <w:tab w:val="left" w:pos="1985"/>
        </w:tabs>
        <w:ind w:left="1980" w:hanging="1980"/>
      </w:pPr>
      <w:r>
        <w:t xml:space="preserve">Durchführung: </w:t>
      </w:r>
      <w:r>
        <w:tab/>
      </w:r>
      <w:r>
        <w:tab/>
        <w:t>Es werden 1,6 g Eisen(III)-chlorid und 2,3 g Ammoniumthiocyanat in jeweils 200 mL Wasser gelöst. Beide Lösungen werden vereinigt und so lange mit Wasse</w:t>
      </w:r>
      <w:r>
        <w:t>r verdünnt, bis die Lösung hellrot erscheint.</w:t>
      </w:r>
    </w:p>
    <w:p w:rsidR="004724AC" w:rsidRDefault="00AC31DD">
      <w:pPr>
        <w:tabs>
          <w:tab w:val="left" w:pos="1701"/>
          <w:tab w:val="left" w:pos="1985"/>
        </w:tabs>
        <w:ind w:left="1985"/>
      </w:pPr>
      <w:r>
        <w:t xml:space="preserve">6 Reagenzgläser werden zur Hälfte mit der Stammlösung gefüllt. Parallel dazu werden ein heißes Wasserbad sowie ein Eisbad vorbereitet. </w:t>
      </w:r>
    </w:p>
    <w:p w:rsidR="004724AC" w:rsidRDefault="00AC31DD">
      <w:pPr>
        <w:tabs>
          <w:tab w:val="left" w:pos="1701"/>
          <w:tab w:val="left" w:pos="1985"/>
        </w:tabs>
        <w:ind w:left="1985"/>
      </w:pPr>
      <w:r>
        <w:t>Rg 1: Vergleichslösung</w:t>
      </w:r>
    </w:p>
    <w:p w:rsidR="004724AC" w:rsidRDefault="00AC31DD">
      <w:pPr>
        <w:tabs>
          <w:tab w:val="left" w:pos="1701"/>
          <w:tab w:val="left" w:pos="1985"/>
        </w:tabs>
        <w:ind w:left="1985"/>
      </w:pPr>
      <w:r>
        <w:t xml:space="preserve">Rg 2: Zugabe einer Spatelspitze </w:t>
      </w:r>
      <m:oMath>
        <m:r>
          <m:rPr>
            <m:sty m:val="p"/>
          </m:rPr>
          <w:rPr>
            <w:rFonts w:ascii="Cambria Math" w:hAnsi="Cambria Math"/>
          </w:rPr>
          <m:t>FeC</m:t>
        </m:r>
        <m:sSub>
          <m:sSubPr>
            <m:ctrlPr>
              <w:rPr>
                <w:rFonts w:ascii="Cambria Math" w:hAnsi="Cambria Math"/>
              </w:rPr>
            </m:ctrlPr>
          </m:sSubPr>
          <m:e>
            <m:r>
              <m:rPr>
                <m:sty m:val="p"/>
              </m:rPr>
              <w:rPr>
                <w:rFonts w:ascii="Cambria Math" w:hAnsi="Cambria Math"/>
              </w:rPr>
              <m:t>l</m:t>
            </m:r>
          </m:e>
          <m:sub>
            <m:r>
              <w:rPr>
                <w:rFonts w:ascii="Cambria Math" w:hAnsi="Cambria Math"/>
              </w:rPr>
              <m:t>3</m:t>
            </m:r>
          </m:sub>
        </m:sSub>
      </m:oMath>
    </w:p>
    <w:p w:rsidR="004724AC" w:rsidRDefault="00AC31DD">
      <w:pPr>
        <w:tabs>
          <w:tab w:val="left" w:pos="1701"/>
          <w:tab w:val="left" w:pos="1985"/>
        </w:tabs>
        <w:ind w:left="1985"/>
      </w:pPr>
      <w:r>
        <w:t>Rg 3: Zugabe einer</w:t>
      </w:r>
      <w:r>
        <w:t xml:space="preserve"> Spatelspitze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w:rPr>
                <w:rFonts w:ascii="Cambria Math" w:hAnsi="Cambria Math"/>
              </w:rPr>
              <m:t>4</m:t>
            </m:r>
          </m:sub>
        </m:sSub>
        <m:r>
          <m:rPr>
            <m:sty m:val="p"/>
          </m:rPr>
          <w:rPr>
            <w:rFonts w:ascii="Cambria Math" w:hAnsi="Cambria Math"/>
          </w:rPr>
          <m:t>SCN</m:t>
        </m:r>
      </m:oMath>
    </w:p>
    <w:p w:rsidR="004724AC" w:rsidRDefault="00AC31DD">
      <w:pPr>
        <w:tabs>
          <w:tab w:val="left" w:pos="1701"/>
          <w:tab w:val="left" w:pos="1985"/>
        </w:tabs>
        <w:ind w:left="1985"/>
      </w:pPr>
      <w:r>
        <w:t xml:space="preserve">Rg 4: Zugabe einer Spatelspitze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w:rPr>
                <w:rFonts w:ascii="Cambria Math" w:hAnsi="Cambria Math"/>
              </w:rPr>
              <m:t>4</m:t>
            </m:r>
          </m:sub>
        </m:sSub>
        <m:r>
          <m:rPr>
            <m:sty m:val="p"/>
          </m:rPr>
          <w:rPr>
            <w:rFonts w:ascii="Cambria Math" w:hAnsi="Cambria Math"/>
          </w:rPr>
          <m:t>Cl</m:t>
        </m:r>
      </m:oMath>
    </w:p>
    <w:p w:rsidR="004724AC" w:rsidRDefault="00AC31DD">
      <w:pPr>
        <w:tabs>
          <w:tab w:val="left" w:pos="1701"/>
          <w:tab w:val="left" w:pos="1985"/>
        </w:tabs>
      </w:pPr>
      <w:r>
        <w:lastRenderedPageBreak/>
        <w:tab/>
      </w:r>
      <w:r>
        <w:tab/>
      </w:r>
      <w:r>
        <w:tab/>
        <w:t>Rg 5: Erwärmen der Stammlösung im heißen Wasserbad</w:t>
      </w:r>
    </w:p>
    <w:p w:rsidR="004724AC" w:rsidRDefault="00AC31DD">
      <w:pPr>
        <w:tabs>
          <w:tab w:val="left" w:pos="1701"/>
          <w:tab w:val="left" w:pos="1985"/>
        </w:tabs>
      </w:pPr>
      <w:r>
        <w:tab/>
      </w:r>
      <w:r>
        <w:tab/>
      </w:r>
      <w:r>
        <w:tab/>
        <w:t>Rg 6: Abkühlen der Stammlösung in Eiswasser</w:t>
      </w:r>
    </w:p>
    <w:p w:rsidR="004724AC" w:rsidRDefault="00AC31DD">
      <w:pPr>
        <w:tabs>
          <w:tab w:val="left" w:pos="1701"/>
          <w:tab w:val="left" w:pos="1985"/>
        </w:tabs>
        <w:ind w:left="2124" w:hanging="2124"/>
      </w:pPr>
      <w:r>
        <w:t>Beobachtung:</w:t>
      </w:r>
      <w:r>
        <w:tab/>
      </w:r>
      <w:r>
        <w:tab/>
      </w:r>
      <w:r>
        <w:tab/>
        <w:t xml:space="preserve">Im zweiten und dritten Reagenzglas ist ein Farbumschlag nach dunkelrot erkennbar. Die Farbe </w:t>
      </w:r>
      <w:r>
        <w:t xml:space="preserve">des vierten Reagenzglases ändert sich bei Zugabe von Ammoniumchlorid nicht. Beim Erwärmen entfärbt sich die Lösung im fünften Reagenzglas, beim Kühlen wird der Orangeton im letzten Reagenzglas intensiver. </w:t>
      </w:r>
    </w:p>
    <w:p w:rsidR="004724AC" w:rsidRDefault="00AC31DD">
      <w:pPr>
        <w:tabs>
          <w:tab w:val="left" w:pos="1701"/>
          <w:tab w:val="left" w:pos="1985"/>
        </w:tabs>
        <w:ind w:left="2124" w:hanging="2124"/>
      </w:pPr>
      <w:r>
        <w:t xml:space="preserve">                                                  </w:t>
      </w:r>
      <w:r>
        <w:t xml:space="preserve">   </w:t>
      </w:r>
      <w:r>
        <w:rPr>
          <w:noProof/>
          <w:lang w:eastAsia="de-DE"/>
        </w:rPr>
        <w:drawing>
          <wp:inline distT="0" distB="0" distL="0" distR="0">
            <wp:extent cx="3250454" cy="2437836"/>
            <wp:effectExtent l="0" t="0" r="7096" b="564"/>
            <wp:docPr id="11" name="Grafik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50454" cy="2437836"/>
                    </a:xfrm>
                    <a:prstGeom prst="rect">
                      <a:avLst/>
                    </a:prstGeom>
                    <a:noFill/>
                    <a:ln>
                      <a:noFill/>
                      <a:prstDash/>
                    </a:ln>
                  </pic:spPr>
                </pic:pic>
              </a:graphicData>
            </a:graphic>
          </wp:inline>
        </w:drawing>
      </w:r>
      <w:r>
        <w:t xml:space="preserve">                                   </w:t>
      </w:r>
    </w:p>
    <w:p w:rsidR="004724AC" w:rsidRDefault="00AC31DD">
      <w:pPr>
        <w:pStyle w:val="Beschriftung"/>
        <w:jc w:val="left"/>
      </w:pPr>
      <w:r>
        <w:t xml:space="preserve">                                                                 Abb. 3 -  Die verschiedenfarbigen Lösungen der Reagenzgläser 1-6  </w:t>
      </w:r>
    </w:p>
    <w:p w:rsidR="004724AC" w:rsidRDefault="00AC31DD">
      <w:pPr>
        <w:tabs>
          <w:tab w:val="left" w:pos="1701"/>
          <w:tab w:val="left" w:pos="1985"/>
        </w:tabs>
        <w:ind w:left="2124" w:hanging="2124"/>
      </w:pPr>
      <w:r>
        <w:t>Deutung:</w:t>
      </w:r>
      <w:r>
        <w:tab/>
      </w:r>
      <w:r>
        <w:tab/>
      </w:r>
      <w:r>
        <w:tab/>
        <w:t>Eisen(III)-chlorid dissoziiert in Wasser nach folgender Reaktionsgleichun</w:t>
      </w:r>
      <w:r>
        <w:t>g:</w:t>
      </w:r>
    </w:p>
    <w:p w:rsidR="004724AC" w:rsidRDefault="00AC31DD">
      <w:pPr>
        <w:tabs>
          <w:tab w:val="left" w:pos="1701"/>
          <w:tab w:val="left" w:pos="1985"/>
        </w:tabs>
        <w:ind w:left="2124" w:hanging="2124"/>
      </w:pPr>
      <w:r>
        <w:tab/>
      </w:r>
      <w:r>
        <w:tab/>
      </w:r>
      <w:r>
        <w:tab/>
        <w:t>Eisen(III)-chlorid dissoziiert in Wasser nach folgender Reaktionsgleichung:</w:t>
      </w:r>
    </w:p>
    <w:p w:rsidR="004724AC" w:rsidRDefault="00AC31DD">
      <w:pPr>
        <w:tabs>
          <w:tab w:val="left" w:pos="1701"/>
          <w:tab w:val="left" w:pos="1985"/>
        </w:tabs>
        <w:ind w:left="2124" w:hanging="2124"/>
        <w:jc w:val="center"/>
      </w:pPr>
      <m:oMathPara>
        <m:oMathParaPr>
          <m:jc m:val="center"/>
        </m:oMathParaPr>
        <m:oMath>
          <m:r>
            <m:rPr>
              <m:sty m:val="p"/>
            </m:rPr>
            <w:rPr>
              <w:rFonts w:ascii="Cambria Math" w:hAnsi="Cambria Math"/>
            </w:rPr>
            <m:t>FeC</m:t>
          </m:r>
          <m:sSub>
            <m:sSubPr>
              <m:ctrlPr>
                <w:rPr>
                  <w:rFonts w:ascii="Cambria Math" w:hAnsi="Cambria Math"/>
                </w:rPr>
              </m:ctrlPr>
            </m:sSubPr>
            <m:e>
              <m:r>
                <m:rPr>
                  <m:sty m:val="p"/>
                </m:rPr>
                <w:rPr>
                  <w:rFonts w:ascii="Cambria Math" w:hAnsi="Cambria Math"/>
                </w:rPr>
                <m:t>l</m:t>
              </m:r>
            </m:e>
            <m:sub>
              <m:r>
                <w:rPr>
                  <w:rFonts w:ascii="Cambria Math" w:hAnsi="Cambria Math"/>
                </w:rPr>
                <m:t>3</m:t>
              </m:r>
            </m:sub>
          </m:sSub>
          <m:r>
            <w:rPr>
              <w:rFonts w:ascii="Cambria Math" w:hAnsi="Cambria Math"/>
            </w:rPr>
            <m:t>∙</m:t>
          </m:r>
          <m:r>
            <w:rPr>
              <w:rFonts w:ascii="Cambria Math" w:hAnsi="Cambria Math"/>
            </w:rPr>
            <m:t>6</m:t>
          </m:r>
          <m:sSub>
            <m:sSubPr>
              <m:ctrlPr>
                <w:rPr>
                  <w:rFonts w:ascii="Cambria Math" w:hAnsi="Cambria Math"/>
                </w:rPr>
              </m:ctrlPr>
            </m:sSubPr>
            <m:e>
              <m:r>
                <m:rPr>
                  <m:sty m:val="p"/>
                </m:rPr>
                <w:rPr>
                  <w:rFonts w:ascii="Cambria Math" w:hAnsi="Cambria Math"/>
                </w:rPr>
                <m:t>H</m:t>
              </m:r>
            </m:e>
            <m:sub>
              <m:r>
                <w:rPr>
                  <w:rFonts w:ascii="Cambria Math" w:hAnsi="Cambria Math"/>
                </w:rPr>
                <m:t>2</m:t>
              </m:r>
            </m:sub>
          </m:sSub>
          <m:sSub>
            <m:sSubPr>
              <m:ctrlPr>
                <w:rPr>
                  <w:rFonts w:ascii="Cambria Math" w:hAnsi="Cambria Math"/>
                </w:rPr>
              </m:ctrlPr>
            </m:sSubPr>
            <m:e>
              <m:r>
                <w:rPr>
                  <w:rFonts w:ascii="Cambria Math" w:hAnsi="Cambria Math"/>
                </w:rPr>
                <m:t>0</m:t>
              </m:r>
            </m:e>
            <m:sub>
              <m:d>
                <m:dPr>
                  <m:ctrlPr>
                    <w:rPr>
                      <w:rFonts w:ascii="Cambria Math" w:hAnsi="Cambria Math"/>
                    </w:rPr>
                  </m:ctrlPr>
                </m:dPr>
                <m:e>
                  <m:r>
                    <m:rPr>
                      <m:sty m:val="p"/>
                    </m:rPr>
                    <w:rPr>
                      <w:rFonts w:ascii="Cambria Math" w:hAnsi="Cambria Math"/>
                    </w:rPr>
                    <m:t>s</m:t>
                  </m:r>
                </m:e>
              </m:d>
            </m:sub>
          </m:sSub>
          <m:r>
            <m:rPr>
              <m:sty m:val="p"/>
            </m:rPr>
            <w:rPr>
              <w:rFonts w:ascii="Cambria Math" w:hAnsi="Cambria Math"/>
            </w:rPr>
            <m:t xml:space="preserve"> </m:t>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w:rPr>
              <w:rFonts w:ascii="Cambria Math" w:hAnsi="Cambria Math"/>
            </w:rPr>
            <m:t>+</m:t>
          </m:r>
          <m:r>
            <m:rPr>
              <m:sty m:val="p"/>
            </m:rPr>
            <w:rPr>
              <w:rFonts w:ascii="Cambria Math" w:hAnsi="Cambria Math"/>
            </w:rPr>
            <m:t xml:space="preserve"> </m:t>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sSub>
            <m:sSubPr>
              <m:ctrlPr>
                <w:rPr>
                  <w:rFonts w:ascii="Cambria Math" w:hAnsi="Cambria Math"/>
                </w:rPr>
              </m:ctrlPr>
            </m:sSubPr>
            <m:e>
              <m:r>
                <m:rPr>
                  <m:sty m:val="p"/>
                </m:rPr>
                <w:rPr>
                  <w:rFonts w:ascii="Cambria Math" w:hAnsi="Cambria Math"/>
                </w:rPr>
                <m:t>H</m:t>
              </m:r>
            </m:e>
            <m:sub>
              <m:r>
                <w:rPr>
                  <w:rFonts w:ascii="Cambria Math" w:hAnsi="Cambria Math"/>
                </w:rPr>
                <m:t>2</m:t>
              </m:r>
            </m:sub>
          </m:sSub>
          <m:sSub>
            <m:sSubPr>
              <m:ctrlPr>
                <w:rPr>
                  <w:rFonts w:ascii="Cambria Math" w:hAnsi="Cambria Math"/>
                </w:rPr>
              </m:ctrlPr>
            </m:sSubPr>
            <m:e>
              <m:r>
                <w:rPr>
                  <w:rFonts w:ascii="Cambria Math" w:hAnsi="Cambria Math"/>
                </w:rPr>
                <m:t>0</m:t>
              </m:r>
            </m:e>
            <m:sub>
              <m:d>
                <m:dPr>
                  <m:ctrlPr>
                    <w:rPr>
                      <w:rFonts w:ascii="Cambria Math" w:hAnsi="Cambria Math"/>
                    </w:rPr>
                  </m:ctrlPr>
                </m:dPr>
                <m:e>
                  <m:r>
                    <m:rPr>
                      <m:sty m:val="p"/>
                    </m:rPr>
                    <w:rPr>
                      <w:rFonts w:ascii="Cambria Math" w:hAnsi="Cambria Math"/>
                    </w:rPr>
                    <m:t>l</m:t>
                  </m:r>
                </m:e>
              </m:d>
            </m:sub>
          </m:sSub>
          <m:r>
            <m:rPr>
              <m:sty m:val="p"/>
            </m:rPr>
            <w:rPr>
              <w:rFonts w:ascii="Cambria Math" w:hAnsi="Cambria Math"/>
            </w:rPr>
            <m:t xml:space="preserve"> </m:t>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w:rPr>
              <w:rFonts w:ascii="Cambria Math" w:hAnsi="Cambria Math"/>
            </w:rPr>
            <m:t>⇌</m:t>
          </m:r>
          <m:r>
            <m:rPr>
              <m:sty m:val="p"/>
            </m:rPr>
            <w:rPr>
              <w:rFonts w:ascii="Cambria Math" w:hAnsi="Cambria Math"/>
            </w:rPr>
            <m:t xml:space="preserve">  F</m:t>
          </m:r>
          <m:sSub>
            <m:sSubPr>
              <m:ctrlPr>
                <w:rPr>
                  <w:rFonts w:ascii="Cambria Math" w:hAnsi="Cambria Math"/>
                </w:rPr>
              </m:ctrlPr>
            </m:sSubPr>
            <m:e>
              <m:sSubSup>
                <m:sSubSupPr>
                  <m:ctrlPr>
                    <w:rPr>
                      <w:rFonts w:ascii="Cambria Math" w:hAnsi="Cambria Math"/>
                    </w:rPr>
                  </m:ctrlPr>
                </m:sSubSupPr>
                <m:e>
                  <m:r>
                    <m:rPr>
                      <m:sty m:val="p"/>
                    </m:rPr>
                    <w:rPr>
                      <w:rFonts w:ascii="Cambria Math" w:hAnsi="Cambria Math"/>
                    </w:rPr>
                    <m:t>e</m:t>
                  </m:r>
                </m:e>
                <m:sub>
                  <m:r>
                    <w:rPr>
                      <w:rFonts w:ascii="Cambria Math" w:hAnsi="Cambria Math"/>
                    </w:rPr>
                    <m:t>3</m:t>
                  </m:r>
                </m:sub>
                <m:sup>
                  <m:r>
                    <w:rPr>
                      <w:rFonts w:ascii="Cambria Math" w:hAnsi="Cambria Math"/>
                    </w:rPr>
                    <m:t>+</m:t>
                  </m:r>
                </m:sup>
              </m:sSubSup>
            </m:e>
            <m:sub>
              <m:d>
                <m:dPr>
                  <m:ctrlPr>
                    <w:rPr>
                      <w:rFonts w:ascii="Cambria Math" w:hAnsi="Cambria Math"/>
                    </w:rPr>
                  </m:ctrlPr>
                </m:dPr>
                <m:e>
                  <m:r>
                    <m:rPr>
                      <m:sty m:val="p"/>
                    </m:rPr>
                    <w:rPr>
                      <w:rFonts w:ascii="Cambria Math" w:hAnsi="Cambria Math"/>
                    </w:rPr>
                    <m:t>aq</m:t>
                  </m:r>
                </m:e>
              </m:d>
            </m:sub>
          </m:sSub>
          <m:r>
            <m:rPr>
              <m:sty m:val="p"/>
            </m:rPr>
            <w:rPr>
              <w:rFonts w:ascii="Cambria Math" w:hAnsi="Cambria Math"/>
            </w:rPr>
            <m:t xml:space="preserve"> </m:t>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w:rPr>
              <w:rFonts w:ascii="Cambria Math" w:hAnsi="Cambria Math"/>
            </w:rPr>
            <m:t>+</m:t>
          </m:r>
          <m:r>
            <m:rPr>
              <m:sty m:val="p"/>
            </m:rPr>
            <w:rPr>
              <w:rFonts w:ascii="Cambria Math" w:hAnsi="Cambria Math"/>
            </w:rPr>
            <m:t xml:space="preserve"> </m:t>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w:rPr>
              <w:rFonts w:ascii="Cambria Math" w:hAnsi="Cambria Math"/>
            </w:rPr>
            <m:t>3</m:t>
          </m:r>
          <m:r>
            <m:rPr>
              <m:sty m:val="p"/>
            </m:rPr>
            <w:rPr>
              <w:rFonts w:ascii="Cambria Math" w:hAnsi="Cambria Math"/>
            </w:rPr>
            <m:t xml:space="preserve"> C</m:t>
          </m:r>
          <m:sSubSup>
            <m:sSubSupPr>
              <m:ctrlPr>
                <w:rPr>
                  <w:rFonts w:ascii="Cambria Math" w:hAnsi="Cambria Math"/>
                </w:rPr>
              </m:ctrlPr>
            </m:sSubSupPr>
            <m:e>
              <m:r>
                <m:rPr>
                  <m:sty m:val="p"/>
                </m:rPr>
                <w:rPr>
                  <w:rFonts w:ascii="Cambria Math" w:hAnsi="Cambria Math"/>
                </w:rPr>
                <m:t>l</m:t>
              </m:r>
            </m:e>
            <m:sub>
              <m:d>
                <m:dPr>
                  <m:ctrlPr>
                    <w:rPr>
                      <w:rFonts w:ascii="Cambria Math" w:hAnsi="Cambria Math"/>
                    </w:rPr>
                  </m:ctrlPr>
                </m:dPr>
                <m:e>
                  <m:r>
                    <m:rPr>
                      <m:sty m:val="p"/>
                    </m:rPr>
                    <w:rPr>
                      <w:rFonts w:ascii="Cambria Math" w:hAnsi="Cambria Math"/>
                    </w:rPr>
                    <m:t>aq</m:t>
                  </m:r>
                </m:e>
              </m:d>
            </m:sub>
            <m:sup>
              <m:r>
                <w:rPr>
                  <w:rFonts w:ascii="Cambria Math" w:hAnsi="Cambria Math"/>
                </w:rPr>
                <m:t>-</m:t>
              </m:r>
            </m:sup>
          </m:sSubSup>
        </m:oMath>
      </m:oMathPara>
    </w:p>
    <w:p w:rsidR="004724AC" w:rsidRDefault="00AC31DD">
      <w:pPr>
        <w:tabs>
          <w:tab w:val="left" w:pos="1701"/>
          <w:tab w:val="left" w:pos="1985"/>
        </w:tabs>
        <w:ind w:left="2124" w:hanging="2124"/>
        <w:rPr>
          <w:rFonts w:eastAsia="Times New Roman"/>
        </w:rPr>
      </w:pPr>
      <w:r>
        <w:rPr>
          <w:rFonts w:eastAsia="Times New Roman"/>
        </w:rPr>
        <w:tab/>
      </w:r>
      <w:r>
        <w:rPr>
          <w:rFonts w:eastAsia="Times New Roman"/>
        </w:rPr>
        <w:tab/>
      </w:r>
      <w:r>
        <w:rPr>
          <w:rFonts w:eastAsia="Times New Roman"/>
        </w:rPr>
        <w:tab/>
        <w:t>Kaliumthiocyanat dissoziiert in Wasser nach folgender Reaktionsgleichung:</w:t>
      </w:r>
    </w:p>
    <w:p w:rsidR="004724AC" w:rsidRDefault="00AC31DD">
      <w:pPr>
        <w:tabs>
          <w:tab w:val="left" w:pos="1701"/>
          <w:tab w:val="left" w:pos="1985"/>
        </w:tabs>
        <w:ind w:left="2124" w:hanging="2124"/>
        <w:jc w:val="center"/>
      </w:pPr>
      <m:oMathPara>
        <m:oMathParaPr>
          <m:jc m:val="center"/>
        </m:oMathParaPr>
        <m:oMath>
          <m:sSub>
            <m:sSubPr>
              <m:ctrlPr>
                <w:rPr>
                  <w:rFonts w:ascii="Cambria Math" w:hAnsi="Cambria Math"/>
                </w:rPr>
              </m:ctrlPr>
            </m:sSubPr>
            <m:e>
              <m:r>
                <m:rPr>
                  <m:sty m:val="p"/>
                </m:rPr>
                <w:rPr>
                  <w:rFonts w:ascii="Cambria Math" w:hAnsi="Cambria Math"/>
                </w:rPr>
                <m:t>NH</m:t>
              </m:r>
            </m:e>
            <m:sub>
              <m:r>
                <w:rPr>
                  <w:rFonts w:ascii="Cambria Math" w:hAnsi="Cambria Math"/>
                </w:rPr>
                <m:t>4</m:t>
              </m:r>
            </m:sub>
          </m:sSub>
          <m:r>
            <m:rPr>
              <m:sty m:val="p"/>
            </m:rPr>
            <w:rPr>
              <w:rFonts w:ascii="Cambria Math" w:hAnsi="Cambria Math"/>
            </w:rPr>
            <m:t xml:space="preserve"> SC</m:t>
          </m:r>
          <m:sSub>
            <m:sSubPr>
              <m:ctrlPr>
                <w:rPr>
                  <w:rFonts w:ascii="Cambria Math" w:hAnsi="Cambria Math"/>
                </w:rPr>
              </m:ctrlPr>
            </m:sSubPr>
            <m:e>
              <m:r>
                <m:rPr>
                  <m:sty m:val="p"/>
                </m:rPr>
                <w:rPr>
                  <w:rFonts w:ascii="Cambria Math" w:hAnsi="Cambria Math"/>
                </w:rPr>
                <m:t>N</m:t>
              </m:r>
            </m:e>
            <m:sub>
              <m:d>
                <m:dPr>
                  <m:ctrlPr>
                    <w:rPr>
                      <w:rFonts w:ascii="Cambria Math" w:hAnsi="Cambria Math"/>
                    </w:rPr>
                  </m:ctrlPr>
                </m:dPr>
                <m:e>
                  <m:r>
                    <m:rPr>
                      <m:sty m:val="p"/>
                    </m:rPr>
                    <w:rPr>
                      <w:rFonts w:ascii="Cambria Math" w:hAnsi="Cambria Math"/>
                    </w:rPr>
                    <m:t>s</m:t>
                  </m:r>
                </m:e>
              </m:d>
            </m:sub>
          </m:sSub>
          <m:r>
            <w:rPr>
              <w:rFonts w:ascii="Cambria Math" w:hAnsi="Cambria Math"/>
            </w:rPr>
            <m:t>+</m:t>
          </m:r>
          <m:r>
            <m:rPr>
              <m:sty m:val="p"/>
            </m:rPr>
            <w:rPr>
              <w:rFonts w:ascii="Cambria Math" w:hAnsi="Cambria Math"/>
            </w:rPr>
            <m:t xml:space="preserve"> </m:t>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sSub>
            <m:sSubPr>
              <m:ctrlPr>
                <w:rPr>
                  <w:rFonts w:ascii="Cambria Math" w:hAnsi="Cambria Math"/>
                </w:rPr>
              </m:ctrlPr>
            </m:sSubPr>
            <m:e>
              <m:r>
                <m:rPr>
                  <m:sty m:val="p"/>
                </m:rPr>
                <w:rPr>
                  <w:rFonts w:ascii="Cambria Math" w:hAnsi="Cambria Math"/>
                </w:rPr>
                <m:t>H</m:t>
              </m:r>
            </m:e>
            <m:sub>
              <m:r>
                <w:rPr>
                  <w:rFonts w:ascii="Cambria Math" w:hAnsi="Cambria Math"/>
                </w:rPr>
                <m:t>2</m:t>
              </m:r>
            </m:sub>
          </m:sSub>
          <m:sSub>
            <m:sSubPr>
              <m:ctrlPr>
                <w:rPr>
                  <w:rFonts w:ascii="Cambria Math" w:hAnsi="Cambria Math"/>
                </w:rPr>
              </m:ctrlPr>
            </m:sSubPr>
            <m:e>
              <m:r>
                <m:rPr>
                  <m:sty m:val="p"/>
                </m:rPr>
                <w:rPr>
                  <w:rFonts w:ascii="Cambria Math" w:hAnsi="Cambria Math"/>
                </w:rPr>
                <m:t>O</m:t>
              </m:r>
            </m:e>
            <m:sub>
              <m:d>
                <m:dPr>
                  <m:ctrlPr>
                    <w:rPr>
                      <w:rFonts w:ascii="Cambria Math" w:hAnsi="Cambria Math"/>
                    </w:rPr>
                  </m:ctrlPr>
                </m:dPr>
                <m:e>
                  <m:r>
                    <m:rPr>
                      <m:sty m:val="p"/>
                    </m:rPr>
                    <w:rPr>
                      <w:rFonts w:ascii="Cambria Math" w:hAnsi="Cambria Math"/>
                    </w:rPr>
                    <m:t>l</m:t>
                  </m:r>
                </m:e>
              </m:d>
            </m:sub>
          </m:sSub>
          <m:r>
            <m:rPr>
              <m:sty m:val="p"/>
            </m:rPr>
            <w:rPr>
              <w:rFonts w:ascii="Cambria Math" w:hAnsi="Cambria Math"/>
            </w:rPr>
            <m:t xml:space="preserve"> </m:t>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w:rPr>
              <w:rFonts w:ascii="Cambria Math" w:hAnsi="Cambria Math"/>
            </w:rPr>
            <m:t>⇌</m:t>
          </m:r>
          <m:r>
            <m:rPr>
              <m:sty m:val="p"/>
            </m:rPr>
            <w:rPr>
              <w:rFonts w:ascii="Cambria Math" w:hAnsi="Cambria Math"/>
            </w:rPr>
            <m:t xml:space="preserve"> </m:t>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sSubSup>
            <m:sSubSupPr>
              <m:ctrlPr>
                <w:rPr>
                  <w:rFonts w:ascii="Cambria Math" w:hAnsi="Cambria Math"/>
                </w:rPr>
              </m:ctrlPr>
            </m:sSubSupPr>
            <m:e>
              <m:sSub>
                <m:sSubPr>
                  <m:ctrlPr>
                    <w:rPr>
                      <w:rFonts w:ascii="Cambria Math" w:hAnsi="Cambria Math"/>
                    </w:rPr>
                  </m:ctrlPr>
                </m:sSubPr>
                <m:e>
                  <m:r>
                    <m:rPr>
                      <m:sty m:val="p"/>
                    </m:rPr>
                    <w:rPr>
                      <w:rFonts w:ascii="Cambria Math" w:hAnsi="Cambria Math"/>
                    </w:rPr>
                    <m:t>NH</m:t>
                  </m:r>
                </m:e>
                <m:sub>
                  <m:r>
                    <w:rPr>
                      <w:rFonts w:ascii="Cambria Math" w:hAnsi="Cambria Math"/>
                    </w:rPr>
                    <m:t>4</m:t>
                  </m:r>
                </m:sub>
              </m:sSub>
            </m:e>
            <m:sub>
              <m:d>
                <m:dPr>
                  <m:ctrlPr>
                    <w:rPr>
                      <w:rFonts w:ascii="Cambria Math" w:hAnsi="Cambria Math"/>
                    </w:rPr>
                  </m:ctrlPr>
                </m:dPr>
                <m:e>
                  <m:r>
                    <m:rPr>
                      <m:sty m:val="p"/>
                    </m:rPr>
                    <w:rPr>
                      <w:rFonts w:ascii="Cambria Math" w:hAnsi="Cambria Math"/>
                    </w:rPr>
                    <m:t>aq</m:t>
                  </m:r>
                </m:e>
              </m:d>
            </m:sub>
            <m:sup>
              <m:r>
                <w:rPr>
                  <w:rFonts w:ascii="Cambria Math" w:hAnsi="Cambria Math"/>
                </w:rPr>
                <m:t>+</m:t>
              </m:r>
            </m:sup>
          </m:sSubSup>
          <m:r>
            <m:rPr>
              <m:sty m:val="p"/>
            </m:rPr>
            <w:rPr>
              <w:rFonts w:ascii="Cambria Math" w:hAnsi="Cambria Math"/>
            </w:rPr>
            <m:t xml:space="preserve"> </m:t>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w:rPr>
              <w:rFonts w:ascii="Cambria Math" w:hAnsi="Cambria Math"/>
            </w:rPr>
            <m:t>+</m:t>
          </m:r>
          <m:r>
            <m:rPr>
              <m:sty m:val="p"/>
            </m:rPr>
            <w:rPr>
              <w:rFonts w:ascii="Cambria Math" w:hAnsi="Cambria Math"/>
            </w:rPr>
            <m:t xml:space="preserve">  SC</m:t>
          </m:r>
          <m:sSubSup>
            <m:sSubSupPr>
              <m:ctrlPr>
                <w:rPr>
                  <w:rFonts w:ascii="Cambria Math" w:hAnsi="Cambria Math"/>
                </w:rPr>
              </m:ctrlPr>
            </m:sSubSupPr>
            <m:e>
              <m:r>
                <m:rPr>
                  <m:sty m:val="p"/>
                </m:rPr>
                <w:rPr>
                  <w:rFonts w:ascii="Cambria Math" w:hAnsi="Cambria Math"/>
                </w:rPr>
                <m:t>N</m:t>
              </m:r>
            </m:e>
            <m:sub>
              <m:d>
                <m:dPr>
                  <m:ctrlPr>
                    <w:rPr>
                      <w:rFonts w:ascii="Cambria Math" w:hAnsi="Cambria Math"/>
                    </w:rPr>
                  </m:ctrlPr>
                </m:dPr>
                <m:e>
                  <m:r>
                    <m:rPr>
                      <m:sty m:val="p"/>
                    </m:rPr>
                    <w:rPr>
                      <w:rFonts w:ascii="Cambria Math" w:hAnsi="Cambria Math"/>
                    </w:rPr>
                    <m:t>aq</m:t>
                  </m:r>
                </m:e>
              </m:d>
            </m:sub>
            <m:sup>
              <m:r>
                <w:rPr>
                  <w:rFonts w:ascii="Cambria Math" w:hAnsi="Cambria Math"/>
                </w:rPr>
                <m:t>-</m:t>
              </m:r>
            </m:sup>
          </m:sSubSup>
        </m:oMath>
      </m:oMathPara>
    </w:p>
    <w:p w:rsidR="004724AC" w:rsidRDefault="00AC31DD">
      <w:pPr>
        <w:tabs>
          <w:tab w:val="left" w:pos="1701"/>
          <w:tab w:val="left" w:pos="1985"/>
        </w:tabs>
        <w:ind w:left="2124" w:hanging="2124"/>
      </w:pPr>
      <w:r>
        <w:t xml:space="preserve"> </w:t>
      </w:r>
      <w:r>
        <w:tab/>
      </w:r>
      <w:r>
        <w:tab/>
      </w:r>
      <w:r>
        <w:tab/>
        <w:t xml:space="preserve">In wässriger Lösung reagieren die Komponenten beim Zusammengeben dann folgendermaßen: </w:t>
      </w:r>
    </w:p>
    <w:p w:rsidR="004724AC" w:rsidRDefault="00AC31DD">
      <w:pPr>
        <w:tabs>
          <w:tab w:val="left" w:pos="1701"/>
          <w:tab w:val="left" w:pos="1985"/>
        </w:tabs>
        <w:ind w:left="2124" w:hanging="2124"/>
        <w:jc w:val="center"/>
      </w:pPr>
      <m:oMathPara>
        <m:oMathParaPr>
          <m:jc m:val="center"/>
        </m:oMathParaPr>
        <m:oMath>
          <m:r>
            <m:rPr>
              <m:sty m:val="p"/>
            </m:rPr>
            <w:rPr>
              <w:rFonts w:ascii="Cambria Math" w:hAnsi="Cambria Math"/>
            </w:rPr>
            <w:lastRenderedPageBreak/>
            <m:t>F</m:t>
          </m:r>
          <m:sSubSup>
            <m:sSubSupPr>
              <m:ctrlPr>
                <w:rPr>
                  <w:rFonts w:ascii="Cambria Math" w:hAnsi="Cambria Math"/>
                </w:rPr>
              </m:ctrlPr>
            </m:sSubSupPr>
            <m:e>
              <m:r>
                <m:rPr>
                  <m:sty m:val="p"/>
                </m:rPr>
                <w:rPr>
                  <w:rFonts w:ascii="Cambria Math" w:hAnsi="Cambria Math"/>
                </w:rPr>
                <m:t>e</m:t>
              </m:r>
            </m:e>
            <m:sub>
              <m:d>
                <m:dPr>
                  <m:ctrlPr>
                    <w:rPr>
                      <w:rFonts w:ascii="Cambria Math" w:hAnsi="Cambria Math"/>
                    </w:rPr>
                  </m:ctrlPr>
                </m:dPr>
                <m:e>
                  <m:r>
                    <m:rPr>
                      <m:sty m:val="p"/>
                    </m:rPr>
                    <w:rPr>
                      <w:rFonts w:ascii="Cambria Math" w:hAnsi="Cambria Math"/>
                    </w:rPr>
                    <m:t>aq</m:t>
                  </m:r>
                </m:e>
              </m:d>
            </m:sub>
            <m:sup>
              <m:r>
                <w:rPr>
                  <w:rFonts w:ascii="Cambria Math" w:hAnsi="Cambria Math"/>
                </w:rPr>
                <m:t>3+</m:t>
              </m:r>
            </m:sup>
          </m:sSubSup>
          <m:r>
            <m:rPr>
              <m:sty m:val="p"/>
            </m:rPr>
            <w:rPr>
              <w:rFonts w:ascii="Cambria Math" w:hAnsi="Cambria Math"/>
            </w:rPr>
            <m:t xml:space="preserve"> </m:t>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w:rPr>
              <w:rFonts w:ascii="Cambria Math" w:hAnsi="Cambria Math"/>
            </w:rPr>
            <m:t>+</m:t>
          </m:r>
          <m:r>
            <m:rPr>
              <m:sty m:val="p"/>
            </m:rPr>
            <w:rPr>
              <w:rFonts w:ascii="Cambria Math" w:hAnsi="Cambria Math"/>
            </w:rPr>
            <m:t xml:space="preserve"> </m:t>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w:rPr>
              <w:rFonts w:ascii="Cambria Math" w:hAnsi="Cambria Math"/>
            </w:rPr>
            <m:t>3</m:t>
          </m:r>
          <m:r>
            <m:rPr>
              <m:sty m:val="p"/>
            </m:rPr>
            <w:rPr>
              <w:rFonts w:ascii="Cambria Math" w:hAnsi="Cambria Math"/>
            </w:rPr>
            <m:t xml:space="preserve"> C</m:t>
          </m:r>
          <m:sSubSup>
            <m:sSubSupPr>
              <m:ctrlPr>
                <w:rPr>
                  <w:rFonts w:ascii="Cambria Math" w:hAnsi="Cambria Math"/>
                </w:rPr>
              </m:ctrlPr>
            </m:sSubSupPr>
            <m:e>
              <m:r>
                <m:rPr>
                  <m:sty m:val="p"/>
                </m:rPr>
                <w:rPr>
                  <w:rFonts w:ascii="Cambria Math" w:hAnsi="Cambria Math"/>
                </w:rPr>
                <m:t>l</m:t>
              </m:r>
            </m:e>
            <m:sub>
              <m:d>
                <m:dPr>
                  <m:ctrlPr>
                    <w:rPr>
                      <w:rFonts w:ascii="Cambria Math" w:hAnsi="Cambria Math"/>
                    </w:rPr>
                  </m:ctrlPr>
                </m:dPr>
                <m:e>
                  <m:r>
                    <m:rPr>
                      <m:sty m:val="p"/>
                    </m:rPr>
                    <w:rPr>
                      <w:rFonts w:ascii="Cambria Math" w:hAnsi="Cambria Math"/>
                    </w:rPr>
                    <m:t>aq</m:t>
                  </m:r>
                </m:e>
              </m:d>
            </m:sub>
            <m:sup>
              <m:r>
                <w:rPr>
                  <w:rFonts w:ascii="Cambria Math" w:hAnsi="Cambria Math"/>
                </w:rPr>
                <m:t>-</m:t>
              </m:r>
            </m:sup>
          </m:sSubSup>
          <m:r>
            <m:rPr>
              <m:sty m:val="p"/>
            </m:rPr>
            <w:rPr>
              <w:rFonts w:ascii="Cambria Math" w:hAnsi="Cambria Math"/>
            </w:rPr>
            <m:t xml:space="preserve"> </m:t>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w:rPr>
              <w:rFonts w:ascii="Cambria Math" w:hAnsi="Cambria Math"/>
            </w:rPr>
            <m:t>+</m:t>
          </m:r>
          <m:r>
            <m:rPr>
              <m:sty m:val="p"/>
            </m:rPr>
            <w:rPr>
              <w:rFonts w:ascii="Cambria Math" w:hAnsi="Cambria Math"/>
            </w:rPr>
            <m:t xml:space="preserve"> </m:t>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w:rPr>
              <w:rFonts w:ascii="Cambria Math" w:hAnsi="Cambria Math"/>
            </w:rPr>
            <m:t>3</m:t>
          </m:r>
          <m:r>
            <m:rPr>
              <m:sty m:val="p"/>
            </m:rPr>
            <w:rPr>
              <w:rFonts w:ascii="Cambria Math" w:hAnsi="Cambria Math"/>
            </w:rPr>
            <m:t xml:space="preserve"> </m:t>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sSubSup>
            <m:sSubSupPr>
              <m:ctrlPr>
                <w:rPr>
                  <w:rFonts w:ascii="Cambria Math" w:hAnsi="Cambria Math"/>
                </w:rPr>
              </m:ctrlPr>
            </m:sSubSupPr>
            <m:e>
              <m:sSub>
                <m:sSubPr>
                  <m:ctrlPr>
                    <w:rPr>
                      <w:rFonts w:ascii="Cambria Math" w:hAnsi="Cambria Math"/>
                    </w:rPr>
                  </m:ctrlPr>
                </m:sSubPr>
                <m:e>
                  <m:r>
                    <m:rPr>
                      <m:sty m:val="p"/>
                    </m:rPr>
                    <w:rPr>
                      <w:rFonts w:ascii="Cambria Math" w:hAnsi="Cambria Math"/>
                    </w:rPr>
                    <m:t>NH</m:t>
                  </m:r>
                </m:e>
                <m:sub>
                  <m:r>
                    <w:rPr>
                      <w:rFonts w:ascii="Cambria Math" w:hAnsi="Cambria Math"/>
                    </w:rPr>
                    <m:t>4</m:t>
                  </m:r>
                </m:sub>
              </m:sSub>
            </m:e>
            <m:sub>
              <m:d>
                <m:dPr>
                  <m:ctrlPr>
                    <w:rPr>
                      <w:rFonts w:ascii="Cambria Math" w:hAnsi="Cambria Math"/>
                    </w:rPr>
                  </m:ctrlPr>
                </m:dPr>
                <m:e>
                  <m:r>
                    <m:rPr>
                      <m:sty m:val="p"/>
                    </m:rPr>
                    <w:rPr>
                      <w:rFonts w:ascii="Cambria Math" w:hAnsi="Cambria Math"/>
                    </w:rPr>
                    <m:t>aq</m:t>
                  </m:r>
                </m:e>
              </m:d>
            </m:sub>
            <m:sup>
              <m:r>
                <w:rPr>
                  <w:rFonts w:ascii="Cambria Math" w:hAnsi="Cambria Math"/>
                </w:rPr>
                <m:t>+</m:t>
              </m:r>
            </m:sup>
          </m:sSubSup>
          <m:r>
            <m:rPr>
              <m:sty m:val="p"/>
            </m:rPr>
            <w:rPr>
              <w:rFonts w:ascii="Cambria Math" w:hAnsi="Cambria Math"/>
            </w:rPr>
            <m:t xml:space="preserve"> </m:t>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w:rPr>
              <w:rFonts w:ascii="Cambria Math" w:hAnsi="Cambria Math"/>
            </w:rPr>
            <m:t>+</m:t>
          </m:r>
          <m:r>
            <m:rPr>
              <m:sty m:val="p"/>
            </m:rPr>
            <w:rPr>
              <w:rFonts w:ascii="Cambria Math" w:hAnsi="Cambria Math"/>
            </w:rPr>
            <m:t xml:space="preserve"> </m:t>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w:rPr>
              <w:rFonts w:ascii="Cambria Math" w:hAnsi="Cambria Math"/>
            </w:rPr>
            <m:t>3</m:t>
          </m:r>
          <m:r>
            <m:rPr>
              <m:sty m:val="p"/>
            </m:rPr>
            <w:rPr>
              <w:rFonts w:ascii="Cambria Math" w:hAnsi="Cambria Math"/>
            </w:rPr>
            <m:t xml:space="preserve"> SC</m:t>
          </m:r>
          <m:sSubSup>
            <m:sSubSupPr>
              <m:ctrlPr>
                <w:rPr>
                  <w:rFonts w:ascii="Cambria Math" w:hAnsi="Cambria Math"/>
                </w:rPr>
              </m:ctrlPr>
            </m:sSubSupPr>
            <m:e>
              <m:r>
                <m:rPr>
                  <m:sty m:val="p"/>
                </m:rPr>
                <w:rPr>
                  <w:rFonts w:ascii="Cambria Math" w:hAnsi="Cambria Math"/>
                </w:rPr>
                <m:t>N</m:t>
              </m:r>
            </m:e>
            <m:sub>
              <m:d>
                <m:dPr>
                  <m:ctrlPr>
                    <w:rPr>
                      <w:rFonts w:ascii="Cambria Math" w:hAnsi="Cambria Math"/>
                    </w:rPr>
                  </m:ctrlPr>
                </m:dPr>
                <m:e>
                  <m:r>
                    <m:rPr>
                      <m:sty m:val="p"/>
                    </m:rPr>
                    <w:rPr>
                      <w:rFonts w:ascii="Cambria Math" w:hAnsi="Cambria Math"/>
                    </w:rPr>
                    <m:t>aq</m:t>
                  </m:r>
                </m:e>
              </m:d>
            </m:sub>
            <m:sup>
              <m:r>
                <w:rPr>
                  <w:rFonts w:ascii="Cambria Math" w:hAnsi="Cambria Math"/>
                </w:rPr>
                <m:t>-</m:t>
              </m:r>
            </m:sup>
          </m:sSubSup>
          <m:r>
            <m:rPr>
              <m:sty m:val="p"/>
            </m:rPr>
            <w:rPr>
              <w:rFonts w:ascii="Cambria Math" w:hAnsi="Cambria Math"/>
            </w:rPr>
            <m:t xml:space="preserve"> </m:t>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w:rPr>
              <w:rFonts w:ascii="Cambria Math" w:hAnsi="Cambria Math"/>
            </w:rPr>
            <w:br/>
          </m:r>
        </m:oMath>
        <m:oMath>
          <m:r>
            <w:rPr>
              <w:rFonts w:ascii="Cambria Math" w:hAnsi="Cambria Math"/>
            </w:rPr>
            <m:t>⇌</m:t>
          </m:r>
          <m:r>
            <m:rPr>
              <m:sty m:val="p"/>
            </m:rPr>
            <w:rPr>
              <w:rFonts w:ascii="Cambria Math" w:hAnsi="Cambria Math"/>
            </w:rPr>
            <m:t xml:space="preserve"> Fe</m:t>
          </m:r>
          <m:sSub>
            <m:sSubPr>
              <m:ctrlPr>
                <w:rPr>
                  <w:rFonts w:ascii="Cambria Math" w:hAnsi="Cambria Math"/>
                </w:rPr>
              </m:ctrlPr>
            </m:sSubPr>
            <m:e>
              <m:sSub>
                <m:sSubPr>
                  <m:ctrlPr>
                    <w:rPr>
                      <w:rFonts w:ascii="Cambria Math" w:hAnsi="Cambria Math"/>
                    </w:rPr>
                  </m:ctrlPr>
                </m:sSubPr>
                <m:e>
                  <m:d>
                    <m:dPr>
                      <m:ctrlPr>
                        <w:rPr>
                          <w:rFonts w:ascii="Cambria Math" w:hAnsi="Cambria Math"/>
                        </w:rPr>
                      </m:ctrlPr>
                    </m:dPr>
                    <m:e>
                      <m:r>
                        <m:rPr>
                          <m:sty m:val="p"/>
                        </m:rPr>
                        <w:rPr>
                          <w:rFonts w:ascii="Cambria Math" w:hAnsi="Cambria Math"/>
                        </w:rPr>
                        <m:t>SCN</m:t>
                      </m:r>
                    </m:e>
                  </m:d>
                </m:e>
                <m:sub>
                  <m:r>
                    <w:rPr>
                      <w:rFonts w:ascii="Cambria Math" w:hAnsi="Cambria Math"/>
                    </w:rPr>
                    <m:t>3</m:t>
                  </m:r>
                </m:sub>
              </m:sSub>
            </m:e>
            <m:sub>
              <m:d>
                <m:dPr>
                  <m:ctrlPr>
                    <w:rPr>
                      <w:rFonts w:ascii="Cambria Math" w:hAnsi="Cambria Math"/>
                    </w:rPr>
                  </m:ctrlPr>
                </m:dPr>
                <m:e>
                  <m:r>
                    <m:rPr>
                      <m:sty m:val="p"/>
                    </m:rPr>
                    <w:rPr>
                      <w:rFonts w:ascii="Cambria Math" w:hAnsi="Cambria Math"/>
                    </w:rPr>
                    <m:t>aq</m:t>
                  </m:r>
                </m:e>
              </m:d>
            </m:sub>
          </m:sSub>
          <m:r>
            <m:rPr>
              <m:sty m:val="p"/>
            </m:rPr>
            <w:rPr>
              <w:rFonts w:ascii="Cambria Math" w:hAnsi="Cambria Math"/>
            </w:rPr>
            <m:t xml:space="preserve"> </m:t>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w:rPr>
              <w:rFonts w:ascii="Cambria Math" w:hAnsi="Cambria Math"/>
            </w:rPr>
            <m:t>+</m:t>
          </m:r>
          <m:r>
            <m:rPr>
              <m:sty m:val="p"/>
            </m:rPr>
            <w:rPr>
              <w:rFonts w:ascii="Cambria Math" w:hAnsi="Cambria Math"/>
            </w:rPr>
            <m:t xml:space="preserve"> </m:t>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w:rPr>
              <w:rFonts w:ascii="Cambria Math" w:hAnsi="Cambria Math"/>
            </w:rPr>
            <m:t>3</m:t>
          </m:r>
          <m:r>
            <m:rPr>
              <m:sty m:val="p"/>
            </m:rPr>
            <w:rPr>
              <w:rFonts w:ascii="Cambria Math" w:hAnsi="Cambria Math"/>
            </w:rPr>
            <m:t xml:space="preserve"> C</m:t>
          </m:r>
          <m:sSubSup>
            <m:sSubSupPr>
              <m:ctrlPr>
                <w:rPr>
                  <w:rFonts w:ascii="Cambria Math" w:hAnsi="Cambria Math"/>
                </w:rPr>
              </m:ctrlPr>
            </m:sSubSupPr>
            <m:e>
              <m:r>
                <m:rPr>
                  <m:sty m:val="p"/>
                </m:rPr>
                <w:rPr>
                  <w:rFonts w:ascii="Cambria Math" w:hAnsi="Cambria Math"/>
                </w:rPr>
                <m:t>l</m:t>
              </m:r>
            </m:e>
            <m:sub>
              <m:d>
                <m:dPr>
                  <m:ctrlPr>
                    <w:rPr>
                      <w:rFonts w:ascii="Cambria Math" w:hAnsi="Cambria Math"/>
                    </w:rPr>
                  </m:ctrlPr>
                </m:dPr>
                <m:e>
                  <m:r>
                    <m:rPr>
                      <m:sty m:val="p"/>
                    </m:rPr>
                    <w:rPr>
                      <w:rFonts w:ascii="Cambria Math" w:hAnsi="Cambria Math"/>
                    </w:rPr>
                    <m:t>aq</m:t>
                  </m:r>
                </m:e>
              </m:d>
            </m:sub>
            <m:sup>
              <m:r>
                <w:rPr>
                  <w:rFonts w:ascii="Cambria Math" w:hAnsi="Cambria Math"/>
                </w:rPr>
                <m:t>-</m:t>
              </m:r>
            </m:sup>
          </m:sSubSup>
          <m:r>
            <m:rPr>
              <m:sty m:val="p"/>
            </m:rPr>
            <w:rPr>
              <w:rFonts w:ascii="Cambria Math" w:hAnsi="Cambria Math"/>
            </w:rPr>
            <m:t xml:space="preserve"> </m:t>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w:rPr>
              <w:rFonts w:ascii="Cambria Math" w:hAnsi="Cambria Math"/>
            </w:rPr>
            <m:t>+</m:t>
          </m:r>
          <m:r>
            <m:rPr>
              <m:sty m:val="p"/>
            </m:rPr>
            <w:rPr>
              <w:rFonts w:ascii="Cambria Math" w:hAnsi="Cambria Math"/>
            </w:rPr>
            <m:t xml:space="preserve"> </m:t>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w:rPr>
              <w:rFonts w:ascii="Cambria Math" w:hAnsi="Cambria Math"/>
            </w:rPr>
            <m:t>3</m:t>
          </m:r>
          <m:r>
            <m:rPr>
              <m:sty m:val="p"/>
            </m:rPr>
            <w:rPr>
              <w:rFonts w:ascii="Cambria Math" w:hAnsi="Cambria Math"/>
            </w:rPr>
            <m:t xml:space="preserve"> </m:t>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r>
            <m:rPr>
              <m:sty m:val="p"/>
            </m:rPr>
            <w:rPr>
              <w:rFonts w:ascii="Cambria Math" w:hAnsi="Cambria Math"/>
            </w:rPr>
            <w:tab/>
          </m:r>
          <m:sSubSup>
            <m:sSubSupPr>
              <m:ctrlPr>
                <w:rPr>
                  <w:rFonts w:ascii="Cambria Math" w:hAnsi="Cambria Math"/>
                </w:rPr>
              </m:ctrlPr>
            </m:sSubSupPr>
            <m:e>
              <m:sSub>
                <m:sSubPr>
                  <m:ctrlPr>
                    <w:rPr>
                      <w:rFonts w:ascii="Cambria Math" w:hAnsi="Cambria Math"/>
                    </w:rPr>
                  </m:ctrlPr>
                </m:sSubPr>
                <m:e>
                  <m:r>
                    <m:rPr>
                      <m:sty m:val="p"/>
                    </m:rPr>
                    <w:rPr>
                      <w:rFonts w:ascii="Cambria Math" w:hAnsi="Cambria Math"/>
                    </w:rPr>
                    <m:t>NH</m:t>
                  </m:r>
                </m:e>
                <m:sub>
                  <m:r>
                    <w:rPr>
                      <w:rFonts w:ascii="Cambria Math" w:hAnsi="Cambria Math"/>
                    </w:rPr>
                    <m:t>4</m:t>
                  </m:r>
                </m:sub>
              </m:sSub>
            </m:e>
            <m:sub>
              <m:d>
                <m:dPr>
                  <m:ctrlPr>
                    <w:rPr>
                      <w:rFonts w:ascii="Cambria Math" w:hAnsi="Cambria Math"/>
                    </w:rPr>
                  </m:ctrlPr>
                </m:dPr>
                <m:e>
                  <m:r>
                    <m:rPr>
                      <m:sty m:val="p"/>
                    </m:rPr>
                    <w:rPr>
                      <w:rFonts w:ascii="Cambria Math" w:hAnsi="Cambria Math"/>
                    </w:rPr>
                    <m:t>aq</m:t>
                  </m:r>
                </m:e>
              </m:d>
            </m:sub>
            <m:sup>
              <m:r>
                <w:rPr>
                  <w:rFonts w:ascii="Cambria Math" w:hAnsi="Cambria Math"/>
                </w:rPr>
                <m:t>+</m:t>
              </m:r>
            </m:sup>
          </m:sSubSup>
        </m:oMath>
      </m:oMathPara>
    </w:p>
    <w:p w:rsidR="004724AC" w:rsidRDefault="00AC31DD">
      <w:pPr>
        <w:tabs>
          <w:tab w:val="left" w:pos="1701"/>
          <w:tab w:val="left" w:pos="1985"/>
        </w:tabs>
        <w:ind w:left="1985"/>
      </w:pPr>
      <w:r>
        <w:t>Di</w:t>
      </w:r>
      <w:r>
        <w:t>e gebildete Verbindung Eisenthiocyanat verursacht die rote Farbe der Lösung. Die beiden restlichen Ionen sind in wässriger Lösung farblos. Bei genügend starker Verdünnung des Eisenthiocyanat-Komplexes mit destilliertem Wasser verschwindet die blutrote Färb</w:t>
      </w:r>
      <w:r>
        <w:t xml:space="preserve">ung, da der Eisenthiocyanat-Komplex in die Eisenhexaqua-Komplex-Kationen und in Thiocyanat-Anionen zerfällt. Die nun braun-gelbe Färbung der Lösung beruht auf dem Eisenhexaqua-Komplex. </w:t>
      </w:r>
    </w:p>
    <w:p w:rsidR="004724AC" w:rsidRDefault="00AC31DD">
      <w:pPr>
        <w:ind w:left="1985"/>
      </w:pPr>
      <w:r>
        <w:t xml:space="preserve">In den Reagenzgläsern 2 und 3 vertieft sich die Farbe, also wird mehr </w:t>
      </w:r>
      <w:r>
        <w:t>an Eisenthiocyanat gebildet als in der Vergleichsprobe 1. Dies kann nur dann geschehen, wenn es sich bei der Reaktion um eine Gleichgewichtsrektion handelt. In diesem Fall besteht ein chemisches Gleichgewicht zwischen den Eisen(III)-Ionen und den Thiocyana</w:t>
      </w:r>
      <w:r>
        <w:t>t-Ionen, die zu Eisenthiocyanat reagieren. Erhöht man nun auf der Eduktseite die Konzentration, so kann diese höhere Konzentration nach dem Prinzip von Le Chatelier nur durch die Erzeugung von mehr Eisenthiocyanat ausgeglichen werden. Es reagieren also die</w:t>
      </w:r>
      <w:r>
        <w:t xml:space="preserve"> zusätzlichen Eisenhexaqua-Komplexionen mit den bereits vorhandenen Thiocyanat-Anionen unter erneuter Bildung von Eisenthiocyanat. </w:t>
      </w:r>
    </w:p>
    <w:p w:rsidR="004724AC" w:rsidRDefault="00AC31DD">
      <w:pPr>
        <w:ind w:left="2124"/>
      </w:pPr>
      <w:r>
        <w:t>In den Reagenzgläsern 4 und 5 findet eine Farbaufhellung statt, also werden vermehrt Eisen(III)-Ionen und Thiocyanationen ge</w:t>
      </w:r>
      <w:r>
        <w:t>bildet. Bei Reagenzglas 4 wird durch die Zugabe von Kaliumchlorid die Ionenkonzentration von Kalium und Chlorid auf der Produktseite der Gleichung erhöht. Im Gegenzug muss mehr Eisenthiocyanat dissoziieren, um die Konzentrationen auf der Eduktseite zu erhö</w:t>
      </w:r>
      <w:r>
        <w:t>hen. Folglich wird die Lösung heller. Da beim Erwärmen der Lösung in Reagenzglas 5 die Farbintensität abnimmt, verschiebt sich das Gleichgewicht auf die Seite der Ausgangsstoffe. Bei einer Temperaturerhöhung nehmen die Reaktionsgeschwindigkeiten der Hin- u</w:t>
      </w:r>
      <w:r>
        <w:t>nd der Rückreaktionen zu, d.h. das Gleichgewicht stellt sich schneller ein. Bei exothermer Hinreaktion verschiebt sich das Gleichgewicht nach links, bei endothermer Hinreaktion verschiebt sich das Gleichgewicht nach rechts. Folglich muss es sich bei der Bi</w:t>
      </w:r>
      <w:r>
        <w:t xml:space="preserve">ldung des Eisenthiocyanatkomplexes um eine exotherme Reaktion handeln, da sich die Lösung in Reagenzglas 5 nach Wärmezufuhr entfärbt. </w:t>
      </w:r>
      <w:r>
        <w:lastRenderedPageBreak/>
        <w:t xml:space="preserve">Die exotherme Reaktion wird in Reagenzglas 6 begünstigt, daher entsteht mehr Eisenthiocyanat und die Lösung wird dunkler. </w:t>
      </w:r>
    </w:p>
    <w:p w:rsidR="004724AC" w:rsidRDefault="00AC31DD">
      <w:pPr>
        <w:spacing w:line="276" w:lineRule="auto"/>
        <w:ind w:left="2124" w:hanging="2025"/>
        <w:jc w:val="left"/>
      </w:pPr>
      <w:r>
        <w:t>Entsorgung:</w:t>
      </w:r>
      <w:r>
        <w:tab/>
        <w:t>Die Lösungen werden mit Thiosulfatlösung neutralisiert und im Abfluss entsorgt.</w:t>
      </w:r>
    </w:p>
    <w:p w:rsidR="004724AC" w:rsidRDefault="004724AC">
      <w:pPr>
        <w:spacing w:line="276" w:lineRule="auto"/>
        <w:ind w:left="2124" w:hanging="2025"/>
        <w:jc w:val="left"/>
      </w:pPr>
    </w:p>
    <w:p w:rsidR="004724AC" w:rsidRDefault="004724AC">
      <w:pPr>
        <w:spacing w:line="276" w:lineRule="auto"/>
        <w:ind w:left="2124" w:hanging="2025"/>
        <w:jc w:val="left"/>
        <w:rPr>
          <w:rFonts w:eastAsia="Times New Roman"/>
        </w:rPr>
      </w:pPr>
    </w:p>
    <w:p w:rsidR="004724AC" w:rsidRDefault="00AC31DD">
      <w:pPr>
        <w:spacing w:line="276" w:lineRule="auto"/>
        <w:jc w:val="left"/>
      </w:pPr>
      <w:r>
        <w:t>Literatur:</w:t>
      </w:r>
      <w:r>
        <w:tab/>
      </w:r>
      <w:r>
        <w:tab/>
      </w:r>
    </w:p>
    <w:p w:rsidR="004724AC" w:rsidRDefault="00AC31DD">
      <w:pPr>
        <w:spacing w:line="276" w:lineRule="auto"/>
      </w:pPr>
      <w:r>
        <w:rPr>
          <w:rFonts w:eastAsia="Times New Roman"/>
          <w:bCs/>
          <w:szCs w:val="28"/>
        </w:rPr>
        <w:t>Hollmach, Sandra; Habel, Christoph, Didaktik der Chemie der Universität Bayreuth,</w:t>
      </w:r>
      <w:r>
        <w:rPr>
          <w:rFonts w:eastAsia="Times New Roman"/>
          <w:b/>
          <w:bCs/>
          <w:szCs w:val="28"/>
        </w:rPr>
        <w:t xml:space="preserve"> </w:t>
      </w:r>
      <w:r>
        <w:t>http://daten.didaktikchemie.uni-bayreuth.de/umat/gleichgewicht/gleichgewicht.htm, 03.08.2016 (Zuletzt abgerufen am 03.08.2016 um 19:45 Uhr)</w:t>
      </w:r>
    </w:p>
    <w:p w:rsidR="004724AC" w:rsidRDefault="00AC31DD">
      <w:r>
        <w:rPr>
          <w:noProof/>
          <w:lang w:eastAsia="de-DE"/>
        </w:rPr>
        <mc:AlternateContent>
          <mc:Choice Requires="wps">
            <w:drawing>
              <wp:inline distT="0" distB="0" distL="0" distR="0">
                <wp:extent cx="5760720" cy="1332866"/>
                <wp:effectExtent l="0" t="0" r="11430" b="19684"/>
                <wp:docPr id="12" name="Text Box 131"/>
                <wp:cNvGraphicFramePr/>
                <a:graphic xmlns:a="http://schemas.openxmlformats.org/drawingml/2006/main">
                  <a:graphicData uri="http://schemas.microsoft.com/office/word/2010/wordprocessingShape">
                    <wps:wsp>
                      <wps:cNvSpPr txBox="1"/>
                      <wps:spPr>
                        <a:xfrm>
                          <a:off x="0" y="0"/>
                          <a:ext cx="5760720" cy="1332866"/>
                        </a:xfrm>
                        <a:prstGeom prst="rect">
                          <a:avLst/>
                        </a:prstGeom>
                        <a:solidFill>
                          <a:srgbClr val="FFFFFF"/>
                        </a:solidFill>
                        <a:ln w="12701">
                          <a:solidFill>
                            <a:srgbClr val="C0504D"/>
                          </a:solidFill>
                          <a:prstDash val="dash"/>
                        </a:ln>
                      </wps:spPr>
                      <wps:txbx>
                        <w:txbxContent>
                          <w:p w:rsidR="004724AC" w:rsidRDefault="00AC31DD">
                            <w:pPr>
                              <w:rPr>
                                <w:color w:val="000000"/>
                              </w:rPr>
                            </w:pPr>
                            <w:r>
                              <w:rPr>
                                <w:color w:val="000000"/>
                              </w:rPr>
                              <w:t>Der Versuch bietet den Vorteil, dass sowohl die Konzentrations- als auch die Temperaturabhängigkeit des chemische</w:t>
                            </w:r>
                            <w:r>
                              <w:rPr>
                                <w:color w:val="000000"/>
                              </w:rPr>
                              <w:t xml:space="preserve">n Gleichgewichts anhand einfacher Farbveränderungen untersucht werden können. Im weiteren Verlauf kann auf den Nachweis von Eisen(III)-Ionen mittels Ammonium- oder Kaliumthiosulfatlösung als Analysemethode eingegangen werden. </w:t>
                            </w:r>
                          </w:p>
                          <w:p w:rsidR="004724AC" w:rsidRDefault="00AC31DD">
                            <w:pPr>
                              <w:rPr>
                                <w:color w:val="FF0000"/>
                              </w:rPr>
                            </w:pPr>
                            <w:r>
                              <w:rPr>
                                <w:color w:val="FF0000"/>
                              </w:rPr>
                              <w:t xml:space="preserve"> </w:t>
                            </w:r>
                          </w:p>
                        </w:txbxContent>
                      </wps:txbx>
                      <wps:bodyPr vert="horz" wrap="square" lIns="91440" tIns="45720" rIns="91440" bIns="45720" anchor="t" anchorCtr="0" compatLnSpc="0">
                        <a:noAutofit/>
                      </wps:bodyPr>
                    </wps:wsp>
                  </a:graphicData>
                </a:graphic>
              </wp:inline>
            </w:drawing>
          </mc:Choice>
          <mc:Fallback>
            <w:pict>
              <v:shape id="Text Box 131" o:spid="_x0000_s1027" type="#_x0000_t202" style="width:453.6pt;height:10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" strokecolor="#c0504d" strokeweight=".35281mm">
                <v:stroke dashstyle="dash"/>
                <v:textbox>
                  <w:txbxContent>
                    <w:p w:rsidR="004724AC" w:rsidRDefault="00AC31DD">
                      <w:pPr>
                        <w:rPr>
                          <w:color w:val="000000"/>
                        </w:rPr>
                      </w:pPr>
                      <w:r>
                        <w:rPr>
                          <w:color w:val="000000"/>
                        </w:rPr>
                        <w:t>Der Versuch bietet den Vorteil, dass sowohl die Konzentrations- als auch die Temperaturabhängigkeit des chemische</w:t>
                      </w:r>
                      <w:r>
                        <w:rPr>
                          <w:color w:val="000000"/>
                        </w:rPr>
                        <w:t xml:space="preserve">n Gleichgewichts anhand einfacher Farbveränderungen untersucht werden können. Im weiteren Verlauf kann auf den Nachweis von Eisen(III)-Ionen mittels Ammonium- oder Kaliumthiosulfatlösung als Analysemethode eingegangen werden. </w:t>
                      </w:r>
                    </w:p>
                    <w:p w:rsidR="004724AC" w:rsidRDefault="00AC31DD">
                      <w:pPr>
                        <w:rPr>
                          <w:color w:val="FF0000"/>
                        </w:rPr>
                      </w:pPr>
                      <w:r>
                        <w:rPr>
                          <w:color w:val="FF0000"/>
                        </w:rPr>
                        <w:t xml:space="preserve"> </w:t>
                      </w:r>
                    </w:p>
                  </w:txbxContent>
                </v:textbox>
                <w10:anchorlock/>
              </v:shape>
            </w:pict>
          </mc:Fallback>
        </mc:AlternateContent>
      </w:r>
    </w:p>
    <w:sectPr w:rsidR="004724AC">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1DD" w:rsidRDefault="00AC31DD">
      <w:pPr>
        <w:spacing w:after="0" w:line="240" w:lineRule="auto"/>
      </w:pPr>
      <w:r>
        <w:separator/>
      </w:r>
    </w:p>
  </w:endnote>
  <w:endnote w:type="continuationSeparator" w:id="0">
    <w:p w:rsidR="00AC31DD" w:rsidRDefault="00AC3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1DD" w:rsidRDefault="00AC31DD">
      <w:pPr>
        <w:spacing w:after="0" w:line="240" w:lineRule="auto"/>
      </w:pPr>
      <w:r>
        <w:rPr>
          <w:color w:val="000000"/>
        </w:rPr>
        <w:separator/>
      </w:r>
    </w:p>
  </w:footnote>
  <w:footnote w:type="continuationSeparator" w:id="0">
    <w:p w:rsidR="00AC31DD" w:rsidRDefault="00AC31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00190"/>
    <w:multiLevelType w:val="multilevel"/>
    <w:tmpl w:val="6624C980"/>
    <w:styleLink w:val="WWOutlineListStyle"/>
    <w:lvl w:ilvl="0">
      <w:start w:val="1"/>
      <w:numFmt w:val="decimal"/>
      <w:lvlText w:val="%1"/>
      <w:lvlJc w:val="left"/>
      <w:pPr>
        <w:ind w:left="432" w:hanging="432"/>
      </w:pPr>
    </w:lvl>
    <w:lvl w:ilvl="1">
      <w:start w:val="1"/>
      <w:numFmt w:val="decimal"/>
      <w:lvlText w:val="%1.%2"/>
      <w:lvlJc w:val="left"/>
      <w:pPr>
        <w:ind w:left="576" w:hanging="576"/>
      </w:pPr>
      <w:rPr>
        <w:lang w:val="de-D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7A2B122D"/>
    <w:multiLevelType w:val="multilevel"/>
    <w:tmpl w:val="F13633C4"/>
    <w:styleLink w:val="WWOutlineListStyle1"/>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lang w:val="de-DE"/>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
  <w:rsids>
    <w:rsidRoot w:val="004724AC"/>
    <w:rsid w:val="004724AC"/>
    <w:rsid w:val="00AC31DD"/>
    <w:rsid w:val="00C070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F2BDB0-A5D6-48F0-BAD4-736AE31F2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pPr>
      <w:suppressAutoHyphens/>
      <w:spacing w:after="200" w:line="360" w:lineRule="auto"/>
      <w:jc w:val="both"/>
    </w:pPr>
    <w:rPr>
      <w:rFonts w:ascii="Cambria" w:hAnsi="Cambria"/>
      <w:color w:val="171717"/>
    </w:rPr>
  </w:style>
  <w:style w:type="paragraph" w:styleId="berschrift1">
    <w:name w:val="heading 1"/>
    <w:basedOn w:val="Standard"/>
    <w:next w:val="Standard"/>
    <w:pPr>
      <w:keepNext/>
      <w:keepLines/>
      <w:numPr>
        <w:numId w:val="1"/>
      </w:numPr>
      <w:spacing w:before="360" w:after="240"/>
      <w:outlineLvl w:val="0"/>
    </w:pPr>
    <w:rPr>
      <w:rFonts w:ascii="Calibri Light" w:eastAsia="Times New Roman" w:hAnsi="Calibri Light"/>
      <w:b/>
      <w:bCs/>
      <w:sz w:val="28"/>
      <w:szCs w:val="28"/>
    </w:rPr>
  </w:style>
  <w:style w:type="paragraph" w:styleId="berschrift2">
    <w:name w:val="heading 2"/>
    <w:basedOn w:val="Standard"/>
    <w:next w:val="Standard"/>
    <w:pPr>
      <w:keepNext/>
      <w:keepLines/>
      <w:numPr>
        <w:ilvl w:val="1"/>
        <w:numId w:val="1"/>
      </w:numPr>
      <w:spacing w:before="200"/>
      <w:outlineLvl w:val="1"/>
    </w:pPr>
    <w:rPr>
      <w:rFonts w:ascii="Calibri Light" w:eastAsia="Times New Roman" w:hAnsi="Calibri Light"/>
      <w:b/>
      <w:bCs/>
      <w:szCs w:val="26"/>
    </w:rPr>
  </w:style>
  <w:style w:type="paragraph" w:styleId="berschrift3">
    <w:name w:val="heading 3"/>
    <w:basedOn w:val="Standard"/>
    <w:next w:val="Standard"/>
    <w:pPr>
      <w:keepNext/>
      <w:keepLines/>
      <w:numPr>
        <w:ilvl w:val="2"/>
        <w:numId w:val="1"/>
      </w:numPr>
      <w:spacing w:before="200" w:after="120"/>
      <w:outlineLvl w:val="2"/>
    </w:pPr>
    <w:rPr>
      <w:rFonts w:ascii="Calibri Light" w:eastAsia="Times New Roman" w:hAnsi="Calibri Light"/>
      <w:b/>
      <w:bCs/>
      <w:i/>
    </w:rPr>
  </w:style>
  <w:style w:type="paragraph" w:styleId="berschrift4">
    <w:name w:val="heading 4"/>
    <w:basedOn w:val="Standard"/>
    <w:next w:val="Standard"/>
    <w:pPr>
      <w:keepNext/>
      <w:keepLines/>
      <w:numPr>
        <w:ilvl w:val="3"/>
        <w:numId w:val="1"/>
      </w:numPr>
      <w:spacing w:before="200" w:after="0"/>
      <w:outlineLvl w:val="3"/>
    </w:pPr>
    <w:rPr>
      <w:rFonts w:ascii="Calibri Light" w:eastAsia="Times New Roman" w:hAnsi="Calibri Light"/>
      <w:b/>
      <w:bCs/>
      <w:i/>
      <w:iCs/>
      <w:color w:val="5B9BD5"/>
    </w:rPr>
  </w:style>
  <w:style w:type="paragraph" w:styleId="berschrift5">
    <w:name w:val="heading 5"/>
    <w:basedOn w:val="Standard"/>
    <w:next w:val="Standard"/>
    <w:pPr>
      <w:keepNext/>
      <w:keepLines/>
      <w:numPr>
        <w:ilvl w:val="4"/>
        <w:numId w:val="1"/>
      </w:numPr>
      <w:spacing w:before="200" w:after="0"/>
      <w:outlineLvl w:val="4"/>
    </w:pPr>
    <w:rPr>
      <w:rFonts w:ascii="Calibri Light" w:eastAsia="Times New Roman" w:hAnsi="Calibri Light"/>
      <w:color w:val="1F4D78"/>
    </w:rPr>
  </w:style>
  <w:style w:type="paragraph" w:styleId="berschrift6">
    <w:name w:val="heading 6"/>
    <w:basedOn w:val="Standard"/>
    <w:next w:val="Standard"/>
    <w:pPr>
      <w:keepNext/>
      <w:keepLines/>
      <w:numPr>
        <w:ilvl w:val="5"/>
        <w:numId w:val="1"/>
      </w:numPr>
      <w:spacing w:before="200" w:after="0"/>
      <w:outlineLvl w:val="5"/>
    </w:pPr>
    <w:rPr>
      <w:rFonts w:ascii="Calibri Light" w:eastAsia="Times New Roman" w:hAnsi="Calibri Light"/>
      <w:i/>
      <w:iCs/>
      <w:color w:val="1F4D78"/>
    </w:rPr>
  </w:style>
  <w:style w:type="paragraph" w:styleId="berschrift7">
    <w:name w:val="heading 7"/>
    <w:basedOn w:val="Standard"/>
    <w:next w:val="Standard"/>
    <w:pPr>
      <w:keepNext/>
      <w:keepLines/>
      <w:numPr>
        <w:ilvl w:val="6"/>
        <w:numId w:val="1"/>
      </w:numPr>
      <w:spacing w:before="200" w:after="0"/>
      <w:outlineLvl w:val="6"/>
    </w:pPr>
    <w:rPr>
      <w:rFonts w:ascii="Calibri Light" w:eastAsia="Times New Roman" w:hAnsi="Calibri Light"/>
      <w:i/>
      <w:iCs/>
      <w:color w:val="404040"/>
    </w:rPr>
  </w:style>
  <w:style w:type="paragraph" w:styleId="berschrift8">
    <w:name w:val="heading 8"/>
    <w:basedOn w:val="Standard"/>
    <w:next w:val="Standard"/>
    <w:pPr>
      <w:keepNext/>
      <w:keepLines/>
      <w:numPr>
        <w:ilvl w:val="7"/>
        <w:numId w:val="1"/>
      </w:numPr>
      <w:spacing w:before="200" w:after="0"/>
      <w:outlineLvl w:val="7"/>
    </w:pPr>
    <w:rPr>
      <w:rFonts w:ascii="Calibri Light" w:eastAsia="Times New Roman" w:hAnsi="Calibri Light"/>
      <w:color w:val="404040"/>
      <w:sz w:val="20"/>
      <w:szCs w:val="20"/>
    </w:rPr>
  </w:style>
  <w:style w:type="paragraph" w:styleId="berschrift9">
    <w:name w:val="heading 9"/>
    <w:basedOn w:val="Standard"/>
    <w:next w:val="Standard"/>
    <w:pPr>
      <w:keepNext/>
      <w:keepLines/>
      <w:numPr>
        <w:ilvl w:val="8"/>
        <w:numId w:val="1"/>
      </w:numPr>
      <w:spacing w:before="200" w:after="0"/>
      <w:outlineLvl w:val="8"/>
    </w:pPr>
    <w:rPr>
      <w:rFonts w:ascii="Calibri Light" w:eastAsia="Times New Roman" w:hAnsi="Calibri Light"/>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WWOutlineListStyle1">
    <w:name w:val="WW_OutlineListStyle_1"/>
    <w:basedOn w:val="KeineListe"/>
    <w:pPr>
      <w:numPr>
        <w:numId w:val="1"/>
      </w:numPr>
    </w:pPr>
  </w:style>
  <w:style w:type="character" w:customStyle="1" w:styleId="berschrift1Zchn">
    <w:name w:val="Überschrift 1 Zchn"/>
    <w:basedOn w:val="Absatz-Standardschriftart"/>
    <w:rPr>
      <w:rFonts w:ascii="Calibri Light" w:eastAsia="Times New Roman" w:hAnsi="Calibri Light" w:cs="Times New Roman"/>
      <w:b/>
      <w:bCs/>
      <w:color w:val="171717"/>
      <w:sz w:val="28"/>
      <w:szCs w:val="28"/>
    </w:rPr>
  </w:style>
  <w:style w:type="character" w:customStyle="1" w:styleId="berschrift2Zchn">
    <w:name w:val="Überschrift 2 Zchn"/>
    <w:basedOn w:val="Absatz-Standardschriftart"/>
    <w:rPr>
      <w:rFonts w:ascii="Calibri Light" w:eastAsia="Times New Roman" w:hAnsi="Calibri Light" w:cs="Times New Roman"/>
      <w:b/>
      <w:bCs/>
      <w:color w:val="171717"/>
      <w:szCs w:val="26"/>
    </w:rPr>
  </w:style>
  <w:style w:type="character" w:customStyle="1" w:styleId="berschrift3Zchn">
    <w:name w:val="Überschrift 3 Zchn"/>
    <w:basedOn w:val="Absatz-Standardschriftart"/>
    <w:rPr>
      <w:rFonts w:ascii="Calibri Light" w:eastAsia="Times New Roman" w:hAnsi="Calibri Light" w:cs="Times New Roman"/>
      <w:b/>
      <w:bCs/>
      <w:i/>
      <w:color w:val="171717"/>
    </w:rPr>
  </w:style>
  <w:style w:type="character" w:customStyle="1" w:styleId="berschrift4Zchn">
    <w:name w:val="Überschrift 4 Zchn"/>
    <w:basedOn w:val="Absatz-Standardschriftart"/>
    <w:rPr>
      <w:rFonts w:ascii="Calibri Light" w:eastAsia="Times New Roman" w:hAnsi="Calibri Light" w:cs="Times New Roman"/>
      <w:b/>
      <w:bCs/>
      <w:i/>
      <w:iCs/>
      <w:color w:val="5B9BD5"/>
    </w:rPr>
  </w:style>
  <w:style w:type="character" w:customStyle="1" w:styleId="berschrift5Zchn">
    <w:name w:val="Überschrift 5 Zchn"/>
    <w:basedOn w:val="Absatz-Standardschriftart"/>
    <w:rPr>
      <w:rFonts w:ascii="Calibri Light" w:eastAsia="Times New Roman" w:hAnsi="Calibri Light" w:cs="Times New Roman"/>
      <w:color w:val="1F4D78"/>
    </w:rPr>
  </w:style>
  <w:style w:type="character" w:customStyle="1" w:styleId="berschrift6Zchn">
    <w:name w:val="Überschrift 6 Zchn"/>
    <w:basedOn w:val="Absatz-Standardschriftart"/>
    <w:rPr>
      <w:rFonts w:ascii="Calibri Light" w:eastAsia="Times New Roman" w:hAnsi="Calibri Light" w:cs="Times New Roman"/>
      <w:i/>
      <w:iCs/>
      <w:color w:val="1F4D78"/>
    </w:rPr>
  </w:style>
  <w:style w:type="character" w:customStyle="1" w:styleId="berschrift7Zchn">
    <w:name w:val="Überschrift 7 Zchn"/>
    <w:basedOn w:val="Absatz-Standardschriftart"/>
    <w:rPr>
      <w:rFonts w:ascii="Calibri Light" w:eastAsia="Times New Roman" w:hAnsi="Calibri Light" w:cs="Times New Roman"/>
      <w:i/>
      <w:iCs/>
      <w:color w:val="404040"/>
    </w:rPr>
  </w:style>
  <w:style w:type="character" w:customStyle="1" w:styleId="berschrift8Zchn">
    <w:name w:val="Überschrift 8 Zchn"/>
    <w:basedOn w:val="Absatz-Standardschriftart"/>
    <w:rPr>
      <w:rFonts w:ascii="Calibri Light" w:eastAsia="Times New Roman" w:hAnsi="Calibri Light" w:cs="Times New Roman"/>
      <w:color w:val="404040"/>
      <w:sz w:val="20"/>
      <w:szCs w:val="20"/>
    </w:rPr>
  </w:style>
  <w:style w:type="character" w:customStyle="1" w:styleId="berschrift9Zchn">
    <w:name w:val="Überschrift 9 Zchn"/>
    <w:basedOn w:val="Absatz-Standardschriftart"/>
    <w:rPr>
      <w:rFonts w:ascii="Calibri Light" w:eastAsia="Times New Roman" w:hAnsi="Calibri Light" w:cs="Times New Roman"/>
      <w:i/>
      <w:iCs/>
      <w:color w:val="404040"/>
      <w:sz w:val="20"/>
      <w:szCs w:val="20"/>
    </w:rPr>
  </w:style>
  <w:style w:type="paragraph" w:styleId="Beschriftung">
    <w:name w:val="caption"/>
    <w:basedOn w:val="Standard"/>
    <w:next w:val="Standard"/>
    <w:pPr>
      <w:spacing w:line="240" w:lineRule="auto"/>
    </w:pPr>
    <w:rPr>
      <w:bCs/>
      <w:color w:val="auto"/>
      <w:sz w:val="18"/>
      <w:szCs w:val="18"/>
    </w:rPr>
  </w:style>
  <w:style w:type="character" w:styleId="Platzhaltertext">
    <w:name w:val="Placeholder Text"/>
    <w:basedOn w:val="Absatz-Standardschriftart"/>
    <w:rPr>
      <w:color w:val="808080"/>
    </w:rPr>
  </w:style>
  <w:style w:type="numbering" w:customStyle="1" w:styleId="WWOutlineListStyle">
    <w:name w:val="WW_OutlineListStyle"/>
    <w:basedOn w:val="KeineListe"/>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683</Words>
  <Characters>4306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dc:creator>
  <dc:description/>
  <cp:lastModifiedBy>Caro</cp:lastModifiedBy>
  <cp:revision>2</cp:revision>
  <dcterms:created xsi:type="dcterms:W3CDTF">2016-08-12T11:17:00Z</dcterms:created>
  <dcterms:modified xsi:type="dcterms:W3CDTF">2016-08-12T11:17:00Z</dcterms:modified>
</cp:coreProperties>
</file>