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3F" w:rsidRDefault="009B513F"/>
    <w:p w:rsidR="009B513F" w:rsidRDefault="009B513F" w:rsidP="009B513F">
      <w:pPr>
        <w:pStyle w:val="berschrift2"/>
        <w:numPr>
          <w:ilvl w:val="0"/>
          <w:numId w:val="0"/>
        </w:numPr>
        <w:ind w:left="576" w:hanging="576"/>
      </w:pPr>
      <w:bookmarkStart w:id="0" w:name="_Toc363829516"/>
      <w:r>
        <w:rPr>
          <w:noProof/>
          <w:lang w:eastAsia="de-DE"/>
        </w:rPr>
        <mc:AlternateContent>
          <mc:Choice Requires="wps">
            <w:drawing>
              <wp:anchor distT="0" distB="0" distL="114300" distR="114300" simplePos="0" relativeHeight="251658240" behindDoc="0" locked="0" layoutInCell="1" allowOverlap="1" wp14:anchorId="2EDCA193" wp14:editId="612F4B95">
                <wp:simplePos x="0" y="0"/>
                <wp:positionH relativeFrom="column">
                  <wp:posOffset>-635</wp:posOffset>
                </wp:positionH>
                <wp:positionV relativeFrom="paragraph">
                  <wp:posOffset>408940</wp:posOffset>
                </wp:positionV>
                <wp:extent cx="5873115" cy="796290"/>
                <wp:effectExtent l="13335" t="13335"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2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13F" w:rsidRPr="00E15E29" w:rsidRDefault="009B513F" w:rsidP="009B513F">
                            <w:pPr>
                              <w:rPr>
                                <w:color w:val="auto"/>
                              </w:rPr>
                            </w:pPr>
                            <w:bookmarkStart w:id="1" w:name="_GoBack"/>
                            <w:r>
                              <w:rPr>
                                <w:color w:val="auto"/>
                              </w:rPr>
                              <w:t xml:space="preserve">Dieser Versuch zeigt, dass es möglich ist einen Geldschein, der zuvor in eine Ethanol-Wasser-Lösung getaucht wird, in Brand zu setzen, ohne selbigen zu verbrennen. </w:t>
                            </w:r>
                            <w:bookmarkEnd w:id="1"/>
                            <w:proofErr w:type="spellStart"/>
                            <w:r>
                              <w:rPr>
                                <w:color w:val="auto"/>
                              </w:rPr>
                              <w:t>SuS</w:t>
                            </w:r>
                            <w:proofErr w:type="spellEnd"/>
                            <w:r>
                              <w:rPr>
                                <w:color w:val="auto"/>
                              </w:rPr>
                              <w:t xml:space="preserve"> sollten als Vorau</w:t>
                            </w:r>
                            <w:r>
                              <w:rPr>
                                <w:color w:val="auto"/>
                              </w:rPr>
                              <w:t>s</w:t>
                            </w:r>
                            <w:r>
                              <w:rPr>
                                <w:color w:val="auto"/>
                              </w:rPr>
                              <w:t xml:space="preserve">setzung wissen, dass Sauerstoff für eine Verbrennung benötigt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" fillcolor="white [3201]" strokecolor="#4bacc6 [3208]" strokeweight="1pt">
                <v:stroke dashstyle="dash"/>
                <v:shadow color="#868686"/>
                <v:textbox>
                  <w:txbxContent>
                    <w:p w:rsidR="009B513F" w:rsidRPr="00E15E29" w:rsidRDefault="009B513F" w:rsidP="009B513F">
                      <w:pPr>
                        <w:rPr>
                          <w:color w:val="auto"/>
                        </w:rPr>
                      </w:pPr>
                      <w:bookmarkStart w:id="2" w:name="_GoBack"/>
                      <w:r>
                        <w:rPr>
                          <w:color w:val="auto"/>
                        </w:rPr>
                        <w:t xml:space="preserve">Dieser Versuch zeigt, dass es möglich ist einen Geldschein, der zuvor in eine Ethanol-Wasser-Lösung getaucht wird, in Brand zu setzen, ohne selbigen zu verbrennen. </w:t>
                      </w:r>
                      <w:bookmarkEnd w:id="2"/>
                      <w:proofErr w:type="spellStart"/>
                      <w:r>
                        <w:rPr>
                          <w:color w:val="auto"/>
                        </w:rPr>
                        <w:t>SuS</w:t>
                      </w:r>
                      <w:proofErr w:type="spellEnd"/>
                      <w:r>
                        <w:rPr>
                          <w:color w:val="auto"/>
                        </w:rPr>
                        <w:t xml:space="preserve"> sollten als Vorau</w:t>
                      </w:r>
                      <w:r>
                        <w:rPr>
                          <w:color w:val="auto"/>
                        </w:rPr>
                        <w:t>s</w:t>
                      </w:r>
                      <w:r>
                        <w:rPr>
                          <w:color w:val="auto"/>
                        </w:rPr>
                        <w:t xml:space="preserve">setzung wissen, dass Sauerstoff für eine Verbrennung benötigt wird. </w:t>
                      </w:r>
                    </w:p>
                  </w:txbxContent>
                </v:textbox>
                <w10:wrap type="square"/>
              </v:shape>
            </w:pict>
          </mc:Fallback>
        </mc:AlternateContent>
      </w:r>
      <w:r>
        <w:t>V 3 – Der brennende Geldschein</w:t>
      </w:r>
      <w:bookmarkEnd w:id="0"/>
      <w:r>
        <w:t xml:space="preserve"> </w:t>
      </w:r>
    </w:p>
    <w:p w:rsidR="009B513F" w:rsidRDefault="009B513F" w:rsidP="009B513F"/>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10"/>
        <w:gridCol w:w="1010"/>
        <w:gridCol w:w="1010"/>
        <w:gridCol w:w="65"/>
        <w:gridCol w:w="946"/>
        <w:gridCol w:w="1124"/>
        <w:gridCol w:w="1011"/>
        <w:gridCol w:w="17"/>
        <w:gridCol w:w="994"/>
        <w:gridCol w:w="1022"/>
        <w:gridCol w:w="1079"/>
      </w:tblGrid>
      <w:tr w:rsidR="009B513F" w:rsidRPr="009C5E28" w:rsidTr="00CE34EA">
        <w:tc>
          <w:tcPr>
            <w:tcW w:w="5000" w:type="pct"/>
            <w:gridSpan w:val="11"/>
            <w:shd w:val="clear" w:color="auto" w:fill="4F81BD"/>
            <w:vAlign w:val="center"/>
          </w:tcPr>
          <w:p w:rsidR="009B513F" w:rsidRPr="009C5E28" w:rsidRDefault="009B513F" w:rsidP="00CE34EA">
            <w:pPr>
              <w:spacing w:after="0"/>
              <w:jc w:val="center"/>
              <w:rPr>
                <w:b/>
                <w:bCs/>
              </w:rPr>
            </w:pPr>
            <w:r w:rsidRPr="009C5E28">
              <w:rPr>
                <w:b/>
                <w:bCs/>
              </w:rPr>
              <w:t>Gefahrenstoffe</w:t>
            </w:r>
          </w:p>
        </w:tc>
      </w:tr>
      <w:tr w:rsidR="009B513F" w:rsidRPr="009C5E28" w:rsidTr="00CE34EA">
        <w:trPr>
          <w:trHeight w:val="552"/>
        </w:trPr>
        <w:tc>
          <w:tcPr>
            <w:tcW w:w="1667" w:type="pct"/>
            <w:gridSpan w:val="4"/>
            <w:tcBorders>
              <w:top w:val="single" w:sz="8" w:space="0" w:color="4F81BD"/>
              <w:left w:val="single" w:sz="8" w:space="0" w:color="4F81BD"/>
              <w:bottom w:val="single" w:sz="8" w:space="0" w:color="4F81BD"/>
            </w:tcBorders>
            <w:shd w:val="clear" w:color="auto" w:fill="auto"/>
            <w:vAlign w:val="center"/>
          </w:tcPr>
          <w:p w:rsidR="009B513F" w:rsidRPr="009C5E28" w:rsidRDefault="009B513F" w:rsidP="00CE34EA">
            <w:pPr>
              <w:spacing w:after="0" w:line="276" w:lineRule="auto"/>
              <w:jc w:val="center"/>
              <w:rPr>
                <w:b/>
                <w:bCs/>
              </w:rPr>
            </w:pPr>
            <w:r>
              <w:rPr>
                <w:sz w:val="20"/>
              </w:rPr>
              <w:t>Wasser</w:t>
            </w:r>
          </w:p>
        </w:tc>
        <w:tc>
          <w:tcPr>
            <w:tcW w:w="1667" w:type="pct"/>
            <w:gridSpan w:val="4"/>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sidRPr="009C5E28">
              <w:rPr>
                <w:sz w:val="20"/>
              </w:rPr>
              <w:t xml:space="preserve">H: </w:t>
            </w:r>
            <w:r>
              <w:t>-</w:t>
            </w:r>
          </w:p>
        </w:tc>
        <w:tc>
          <w:tcPr>
            <w:tcW w:w="1667" w:type="pct"/>
            <w:gridSpan w:val="3"/>
            <w:tcBorders>
              <w:top w:val="single" w:sz="8" w:space="0" w:color="4F81BD"/>
              <w:bottom w:val="single" w:sz="8" w:space="0" w:color="4F81BD"/>
              <w:right w:val="single" w:sz="8" w:space="0" w:color="4F81BD"/>
            </w:tcBorders>
            <w:shd w:val="clear" w:color="auto" w:fill="auto"/>
            <w:vAlign w:val="center"/>
          </w:tcPr>
          <w:p w:rsidR="009B513F" w:rsidRPr="009C5E28" w:rsidRDefault="009B513F" w:rsidP="00CE34EA">
            <w:pPr>
              <w:spacing w:after="0"/>
              <w:jc w:val="center"/>
            </w:pPr>
            <w:r w:rsidRPr="009C5E28">
              <w:rPr>
                <w:sz w:val="20"/>
              </w:rPr>
              <w:t xml:space="preserve">P: </w:t>
            </w:r>
            <w:r>
              <w:t>-</w:t>
            </w:r>
          </w:p>
        </w:tc>
      </w:tr>
      <w:tr w:rsidR="009B513F" w:rsidRPr="009C5E28" w:rsidTr="00CE34EA">
        <w:trPr>
          <w:trHeight w:val="552"/>
        </w:trPr>
        <w:tc>
          <w:tcPr>
            <w:tcW w:w="1667" w:type="pct"/>
            <w:gridSpan w:val="4"/>
            <w:tcBorders>
              <w:top w:val="single" w:sz="8" w:space="0" w:color="4F81BD"/>
              <w:left w:val="single" w:sz="8" w:space="0" w:color="4F81BD"/>
              <w:bottom w:val="single" w:sz="8" w:space="0" w:color="4F81BD"/>
            </w:tcBorders>
            <w:shd w:val="clear" w:color="auto" w:fill="auto"/>
            <w:vAlign w:val="center"/>
          </w:tcPr>
          <w:p w:rsidR="009B513F" w:rsidRPr="00C27CCD" w:rsidRDefault="009B513F" w:rsidP="00CE34EA">
            <w:pPr>
              <w:spacing w:after="0" w:line="276" w:lineRule="auto"/>
              <w:jc w:val="center"/>
              <w:rPr>
                <w:sz w:val="20"/>
              </w:rPr>
            </w:pPr>
            <w:r>
              <w:rPr>
                <w:sz w:val="20"/>
              </w:rPr>
              <w:t>Ethanol</w:t>
            </w:r>
          </w:p>
        </w:tc>
        <w:tc>
          <w:tcPr>
            <w:tcW w:w="1667" w:type="pct"/>
            <w:gridSpan w:val="4"/>
            <w:tcBorders>
              <w:top w:val="single" w:sz="8" w:space="0" w:color="4F81BD"/>
              <w:bottom w:val="single" w:sz="8" w:space="0" w:color="4F81BD"/>
            </w:tcBorders>
            <w:shd w:val="clear" w:color="auto" w:fill="auto"/>
            <w:vAlign w:val="center"/>
          </w:tcPr>
          <w:p w:rsidR="009B513F" w:rsidRPr="009C5E28" w:rsidRDefault="009B513F" w:rsidP="00CE34EA">
            <w:pPr>
              <w:jc w:val="center"/>
              <w:rPr>
                <w:sz w:val="20"/>
              </w:rPr>
            </w:pPr>
            <w:r w:rsidRPr="009C5E28">
              <w:rPr>
                <w:sz w:val="20"/>
              </w:rPr>
              <w:t xml:space="preserve">H: </w:t>
            </w:r>
            <w:r>
              <w:rPr>
                <w:sz w:val="20"/>
              </w:rPr>
              <w:t>225</w:t>
            </w:r>
          </w:p>
        </w:tc>
        <w:tc>
          <w:tcPr>
            <w:tcW w:w="1667" w:type="pct"/>
            <w:gridSpan w:val="3"/>
            <w:tcBorders>
              <w:top w:val="single" w:sz="8" w:space="0" w:color="4F81BD"/>
              <w:bottom w:val="single" w:sz="8" w:space="0" w:color="4F81BD"/>
              <w:right w:val="single" w:sz="8" w:space="0" w:color="4F81BD"/>
            </w:tcBorders>
            <w:shd w:val="clear" w:color="auto" w:fill="auto"/>
            <w:vAlign w:val="center"/>
          </w:tcPr>
          <w:p w:rsidR="009B513F" w:rsidRPr="009C5E28" w:rsidRDefault="009B513F" w:rsidP="00CE34EA">
            <w:pPr>
              <w:jc w:val="center"/>
              <w:rPr>
                <w:sz w:val="20"/>
              </w:rPr>
            </w:pPr>
            <w:r w:rsidRPr="009C5E28">
              <w:rPr>
                <w:sz w:val="20"/>
              </w:rPr>
              <w:t xml:space="preserve">P: </w:t>
            </w:r>
            <w:r>
              <w:rPr>
                <w:sz w:val="20"/>
              </w:rPr>
              <w:t>210</w:t>
            </w:r>
          </w:p>
        </w:tc>
      </w:tr>
      <w:tr w:rsidR="009B513F" w:rsidRPr="009C5E28" w:rsidTr="00CE34EA">
        <w:trPr>
          <w:trHeight w:val="552"/>
        </w:trPr>
        <w:tc>
          <w:tcPr>
            <w:tcW w:w="1667" w:type="pct"/>
            <w:gridSpan w:val="4"/>
            <w:shd w:val="clear" w:color="auto" w:fill="auto"/>
            <w:vAlign w:val="center"/>
          </w:tcPr>
          <w:p w:rsidR="009B513F" w:rsidRPr="009C5E28" w:rsidRDefault="009B513F" w:rsidP="00CE34EA">
            <w:pPr>
              <w:spacing w:after="0" w:line="276" w:lineRule="auto"/>
              <w:jc w:val="center"/>
              <w:rPr>
                <w:bCs/>
                <w:sz w:val="20"/>
              </w:rPr>
            </w:pPr>
            <w:r>
              <w:rPr>
                <w:color w:val="auto"/>
                <w:sz w:val="20"/>
                <w:szCs w:val="20"/>
              </w:rPr>
              <w:t>Kochsalz</w:t>
            </w:r>
          </w:p>
        </w:tc>
        <w:tc>
          <w:tcPr>
            <w:tcW w:w="1667" w:type="pct"/>
            <w:gridSpan w:val="4"/>
            <w:shd w:val="clear" w:color="auto" w:fill="auto"/>
            <w:vAlign w:val="center"/>
          </w:tcPr>
          <w:p w:rsidR="009B513F" w:rsidRPr="009C5E28" w:rsidRDefault="009B513F" w:rsidP="00CE34EA">
            <w:pPr>
              <w:pStyle w:val="Beschriftung"/>
              <w:spacing w:after="0"/>
              <w:jc w:val="center"/>
              <w:rPr>
                <w:sz w:val="20"/>
              </w:rPr>
            </w:pPr>
            <w:r w:rsidRPr="009C5E28">
              <w:rPr>
                <w:sz w:val="20"/>
              </w:rPr>
              <w:t xml:space="preserve">H: </w:t>
            </w:r>
            <w:r>
              <w:t>-</w:t>
            </w:r>
          </w:p>
        </w:tc>
        <w:tc>
          <w:tcPr>
            <w:tcW w:w="1667" w:type="pct"/>
            <w:gridSpan w:val="3"/>
            <w:shd w:val="clear" w:color="auto" w:fill="auto"/>
            <w:vAlign w:val="center"/>
          </w:tcPr>
          <w:p w:rsidR="009B513F" w:rsidRPr="009C5E28" w:rsidRDefault="009B513F" w:rsidP="00CE34EA">
            <w:pPr>
              <w:pStyle w:val="Beschriftung"/>
              <w:spacing w:after="0"/>
              <w:jc w:val="center"/>
              <w:rPr>
                <w:sz w:val="20"/>
              </w:rPr>
            </w:pPr>
            <w:r w:rsidRPr="009C5E28">
              <w:rPr>
                <w:sz w:val="20"/>
              </w:rPr>
              <w:t xml:space="preserve">P: </w:t>
            </w:r>
            <w:r>
              <w:t>-</w:t>
            </w:r>
          </w:p>
        </w:tc>
      </w:tr>
      <w:tr w:rsidR="009B513F" w:rsidRPr="009C5E28" w:rsidTr="00CE34EA">
        <w:tc>
          <w:tcPr>
            <w:tcW w:w="544" w:type="pct"/>
            <w:tcBorders>
              <w:top w:val="single" w:sz="8" w:space="0" w:color="4F81BD"/>
              <w:left w:val="single" w:sz="8" w:space="0" w:color="4F81BD"/>
              <w:bottom w:val="single" w:sz="8" w:space="0" w:color="4F81BD"/>
            </w:tcBorders>
            <w:shd w:val="clear" w:color="auto" w:fill="auto"/>
            <w:vAlign w:val="center"/>
          </w:tcPr>
          <w:p w:rsidR="009B513F" w:rsidRPr="009C5E28" w:rsidRDefault="009B513F" w:rsidP="00CE34EA">
            <w:pPr>
              <w:spacing w:after="0"/>
              <w:jc w:val="center"/>
              <w:rPr>
                <w:b/>
                <w:bCs/>
              </w:rPr>
            </w:pPr>
            <w:r>
              <w:rPr>
                <w:b/>
                <w:noProof/>
                <w:lang w:eastAsia="de-DE"/>
              </w:rPr>
              <w:drawing>
                <wp:inline distT="0" distB="0" distL="0" distR="0" wp14:anchorId="64CEEA1D" wp14:editId="70F83977">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7DC18FC0" wp14:editId="05B4ACF8">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7F5C4F13" wp14:editId="135299D2">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62E3C1F6" wp14:editId="5694EECE">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605" w:type="pct"/>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2A9A3904" wp14:editId="798A22AB">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4361009E" wp14:editId="7B618908">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67D2FDBA" wp14:editId="245CB24C">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50" w:type="pct"/>
            <w:tcBorders>
              <w:top w:val="single" w:sz="8" w:space="0" w:color="4F81BD"/>
              <w:bottom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1330CC67" wp14:editId="521E4723">
                  <wp:extent cx="511175" cy="51117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583" w:type="pct"/>
            <w:tcBorders>
              <w:top w:val="single" w:sz="8" w:space="0" w:color="4F81BD"/>
              <w:bottom w:val="single" w:sz="8" w:space="0" w:color="4F81BD"/>
              <w:right w:val="single" w:sz="8" w:space="0" w:color="4F81BD"/>
            </w:tcBorders>
            <w:shd w:val="clear" w:color="auto" w:fill="auto"/>
            <w:vAlign w:val="center"/>
          </w:tcPr>
          <w:p w:rsidR="009B513F" w:rsidRPr="009C5E28" w:rsidRDefault="009B513F" w:rsidP="00CE34EA">
            <w:pPr>
              <w:spacing w:after="0"/>
              <w:jc w:val="center"/>
            </w:pPr>
            <w:r>
              <w:rPr>
                <w:noProof/>
                <w:lang w:eastAsia="de-DE"/>
              </w:rPr>
              <w:drawing>
                <wp:inline distT="0" distB="0" distL="0" distR="0" wp14:anchorId="6E9BDAA3" wp14:editId="6C1F7FA5">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B513F" w:rsidRDefault="009B513F" w:rsidP="009B513F">
      <w:pPr>
        <w:tabs>
          <w:tab w:val="left" w:pos="1701"/>
          <w:tab w:val="left" w:pos="1985"/>
        </w:tabs>
        <w:ind w:left="1980" w:hanging="1980"/>
      </w:pPr>
    </w:p>
    <w:p w:rsidR="009B513F" w:rsidRDefault="009B513F" w:rsidP="009B513F">
      <w:pPr>
        <w:tabs>
          <w:tab w:val="left" w:pos="1701"/>
          <w:tab w:val="left" w:pos="1985"/>
        </w:tabs>
        <w:ind w:left="1980" w:hanging="1980"/>
      </w:pPr>
      <w:r>
        <w:t xml:space="preserve">Materialien: </w:t>
      </w:r>
      <w:r>
        <w:tab/>
      </w:r>
      <w:r>
        <w:tab/>
        <w:t>Glasschale, Zettel, Geldschein, Feuerzeug, Tiegelzange, Becherglas</w:t>
      </w:r>
    </w:p>
    <w:p w:rsidR="009B513F" w:rsidRPr="00ED07C2" w:rsidRDefault="009B513F" w:rsidP="009B513F">
      <w:pPr>
        <w:tabs>
          <w:tab w:val="left" w:pos="1701"/>
          <w:tab w:val="left" w:pos="1985"/>
        </w:tabs>
        <w:ind w:left="1980" w:hanging="1980"/>
      </w:pPr>
      <w:r>
        <w:t>Chemikalien:</w:t>
      </w:r>
      <w:r>
        <w:tab/>
      </w:r>
      <w:r>
        <w:tab/>
        <w:t xml:space="preserve">Wasser, Ethanol, (Kochsalz) </w:t>
      </w:r>
    </w:p>
    <w:p w:rsidR="009B513F" w:rsidRDefault="009B513F" w:rsidP="009B513F">
      <w:pPr>
        <w:tabs>
          <w:tab w:val="left" w:pos="1701"/>
          <w:tab w:val="left" w:pos="1985"/>
        </w:tabs>
        <w:ind w:left="1980" w:hanging="1980"/>
      </w:pPr>
      <w:r>
        <w:t xml:space="preserve">Durchführung: </w:t>
      </w:r>
      <w:r>
        <w:tab/>
      </w:r>
      <w:r>
        <w:tab/>
      </w:r>
      <w:r>
        <w:tab/>
        <w:t xml:space="preserve">Es werden je 25 </w:t>
      </w:r>
      <w:proofErr w:type="spellStart"/>
      <w:r>
        <w:t>mL</w:t>
      </w:r>
      <w:proofErr w:type="spellEnd"/>
      <w:r>
        <w:t xml:space="preserve"> Ethanol (96%) und Wasser in ein Becherglas gegeben und durch leichtes Schwenken vermischt. Die Lösung wird zur leichteren Anwendung in eine Schale überführt. Der Zettel, der ungefähr die Größe eines Geldscheines haben sollte, wird in die Lösung getaucht, bis er vollkommen feucht ist. Mit Hilfe der Tiegelzange wird der Zettel aus dem Gemisch genommen und am unteren Ende angezündet. Sofern der Zettel ke</w:t>
      </w:r>
      <w:r>
        <w:t>i</w:t>
      </w:r>
      <w:r>
        <w:t>ne Schäden davongetragen hat, werden die Schritte analog mit einem Gel</w:t>
      </w:r>
      <w:r>
        <w:t>d</w:t>
      </w:r>
      <w:r>
        <w:t xml:space="preserve">schein durchgeführt. Zur besseren Sichtbarkeit kann eine Spatelspitze Kochsalz in das Ethanol-Wasser-Gemisch hinzugegeben werden. Ansonsten empfiehlt es sich, einen abgedunkelten Raum aufzusuchen. </w:t>
      </w:r>
    </w:p>
    <w:p w:rsidR="009B513F" w:rsidRDefault="009B513F" w:rsidP="009B513F">
      <w:pPr>
        <w:tabs>
          <w:tab w:val="left" w:pos="1701"/>
          <w:tab w:val="left" w:pos="1985"/>
        </w:tabs>
        <w:ind w:left="1980" w:hanging="1980"/>
      </w:pPr>
      <w:r>
        <w:t>Beobachtung:</w:t>
      </w:r>
      <w:r>
        <w:tab/>
      </w:r>
      <w:r>
        <w:tab/>
      </w:r>
      <w:r>
        <w:tab/>
        <w:t>Im abgedunkelten Raum ist, sobald der Schein entzündet wird, eine hel</w:t>
      </w:r>
      <w:r>
        <w:t>l</w:t>
      </w:r>
      <w:r>
        <w:t>leuchtende bläuliche Flamme zu erkennen. Diese wird immer größer, wä</w:t>
      </w:r>
      <w:r>
        <w:t>h</w:t>
      </w:r>
      <w:r>
        <w:t xml:space="preserve">rend sie sich hinauf bis zum anderen Ende des Geldscheins bewegt. Der Geldschein ist am Ende von einer großen blau-orangen Flamme umgeben und erlischt kurz darauf (vgl. Abb. 3). </w:t>
      </w:r>
    </w:p>
    <w:p w:rsidR="009B513F" w:rsidRDefault="009B513F" w:rsidP="009B513F">
      <w:pPr>
        <w:keepNext/>
        <w:tabs>
          <w:tab w:val="left" w:pos="1701"/>
          <w:tab w:val="left" w:pos="1985"/>
        </w:tabs>
        <w:ind w:left="1980" w:hanging="1980"/>
        <w:jc w:val="center"/>
      </w:pPr>
      <w:r>
        <w:rPr>
          <w:noProof/>
          <w:lang w:eastAsia="de-DE"/>
        </w:rPr>
        <w:lastRenderedPageBreak/>
        <w:drawing>
          <wp:inline distT="0" distB="0" distL="0" distR="0" wp14:anchorId="0F70D475" wp14:editId="76933530">
            <wp:extent cx="1942426" cy="2247840"/>
            <wp:effectExtent l="0" t="0" r="0" b="0"/>
            <wp:docPr id="5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42426" cy="2247840"/>
                    </a:xfrm>
                    <a:prstGeom prst="rect">
                      <a:avLst/>
                    </a:prstGeom>
                    <a:noFill/>
                    <a:ln w="9525">
                      <a:noFill/>
                      <a:miter lim="800000"/>
                      <a:headEnd/>
                      <a:tailEnd/>
                    </a:ln>
                  </pic:spPr>
                </pic:pic>
              </a:graphicData>
            </a:graphic>
          </wp:inline>
        </w:drawing>
      </w:r>
    </w:p>
    <w:p w:rsidR="009B513F" w:rsidRDefault="009B513F" w:rsidP="009B513F">
      <w:pPr>
        <w:pStyle w:val="Beschriftung"/>
        <w:jc w:val="center"/>
      </w:pPr>
      <w:r>
        <w:t xml:space="preserve">Abb. 3 – </w:t>
      </w:r>
      <w:r>
        <w:rPr>
          <w:noProof/>
        </w:rPr>
        <w:t>Der brennende Geldschein im abgedunkelten Raum.</w:t>
      </w:r>
    </w:p>
    <w:p w:rsidR="009B513F" w:rsidRDefault="009B513F" w:rsidP="009B513F">
      <w:pPr>
        <w:tabs>
          <w:tab w:val="left" w:pos="1701"/>
          <w:tab w:val="left" w:pos="1985"/>
        </w:tabs>
        <w:ind w:left="1980" w:hanging="1980"/>
      </w:pPr>
      <w:r>
        <w:t>Deutung:</w:t>
      </w:r>
      <w:r>
        <w:tab/>
      </w:r>
      <w:r>
        <w:tab/>
      </w:r>
      <w:r>
        <w:tab/>
        <w:t>Ethanol ist mit seiner Siedetemperatur von 78°C flüchtiger als Wasser und verdampft sehr stark. Die Flamme des Feuerzeugs verdampft etwas Eth</w:t>
      </w:r>
      <w:r>
        <w:t>a</w:t>
      </w:r>
      <w:r>
        <w:t>nol, der wiederum den restlichen Alkohol entflammt. Wasser siedet erst bei 100°C und schützt den Geldschein, bis das Wasser verdampft ist, vor einem Kontakt mit Sauerstoff, ohne den der Schein nicht brennen kann. Der Gel</w:t>
      </w:r>
      <w:r>
        <w:t>d</w:t>
      </w:r>
      <w:r>
        <w:t>schein erreicht darüber hinaus aufgrund des Wassers nicht die nötige Ve</w:t>
      </w:r>
      <w:r>
        <w:t>r</w:t>
      </w:r>
      <w:r>
        <w:t xml:space="preserve">brennungstemperatur. Somit ist kein </w:t>
      </w:r>
      <w:proofErr w:type="spellStart"/>
      <w:r>
        <w:t>Brandgut</w:t>
      </w:r>
      <w:proofErr w:type="spellEnd"/>
      <w:r>
        <w:t xml:space="preserve"> vorhanden, bevor das Eth</w:t>
      </w:r>
      <w:r>
        <w:t>a</w:t>
      </w:r>
      <w:r>
        <w:t>nol verdampft ist und die Flamme erlischt.</w:t>
      </w:r>
    </w:p>
    <w:p w:rsidR="009B513F" w:rsidRDefault="009B513F" w:rsidP="009B513F">
      <w:pPr>
        <w:tabs>
          <w:tab w:val="left" w:pos="1701"/>
          <w:tab w:val="left" w:pos="1985"/>
        </w:tabs>
        <w:ind w:left="1980" w:hanging="1980"/>
      </w:pPr>
      <w:r>
        <w:t>Entsorgung:</w:t>
      </w:r>
      <w:r>
        <w:tab/>
      </w:r>
      <w:r>
        <w:tab/>
        <w:t>Abfluss und Hausmüll.</w:t>
      </w:r>
    </w:p>
    <w:p w:rsidR="009B513F" w:rsidRPr="004726E8" w:rsidRDefault="009B513F" w:rsidP="009B513F">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J. Hecker: Experimente. Den Naturwissenschaften auf der Spur. Der Kinder Brock Haus. Verlag F.A. Brockhaus</w:t>
      </w:r>
      <w:r w:rsidRPr="00B937A2">
        <w:rPr>
          <w:rFonts w:asciiTheme="majorHAnsi" w:hAnsiTheme="majorHAnsi"/>
        </w:rPr>
        <w:t>,</w:t>
      </w:r>
      <w:r>
        <w:rPr>
          <w:rFonts w:asciiTheme="majorHAnsi" w:hAnsiTheme="majorHAnsi"/>
        </w:rPr>
        <w:t xml:space="preserve"> Gütersloh/München 2010. In Anle</w:t>
      </w:r>
      <w:r>
        <w:rPr>
          <w:rFonts w:asciiTheme="majorHAnsi" w:hAnsiTheme="majorHAnsi"/>
        </w:rPr>
        <w:t>h</w:t>
      </w:r>
      <w:r>
        <w:rPr>
          <w:rFonts w:asciiTheme="majorHAnsi" w:hAnsiTheme="majorHAnsi"/>
        </w:rPr>
        <w:t>nung an S. 110-111.</w:t>
      </w:r>
    </w:p>
    <w:p w:rsidR="009B513F" w:rsidRDefault="009B513F" w:rsidP="009B513F">
      <w:pPr>
        <w:tabs>
          <w:tab w:val="left" w:pos="1701"/>
          <w:tab w:val="left" w:pos="1985"/>
        </w:tabs>
      </w:pPr>
    </w:p>
    <w:p w:rsidR="009B513F" w:rsidRDefault="009B513F" w:rsidP="009B513F">
      <w:pPr>
        <w:tabs>
          <w:tab w:val="left" w:pos="1701"/>
          <w:tab w:val="left" w:pos="1985"/>
        </w:tabs>
        <w:ind w:left="1980" w:hanging="1980"/>
      </w:pPr>
      <w:r>
        <w:rPr>
          <w:noProof/>
          <w:lang w:eastAsia="de-DE"/>
        </w:rPr>
        <mc:AlternateContent>
          <mc:Choice Requires="wps">
            <w:drawing>
              <wp:inline distT="0" distB="0" distL="0" distR="0">
                <wp:extent cx="5863590" cy="1828165"/>
                <wp:effectExtent l="13970" t="12700" r="8890" b="698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8281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13F" w:rsidRPr="00314BB5" w:rsidRDefault="009B513F" w:rsidP="009B513F">
                            <w:pPr>
                              <w:rPr>
                                <w:color w:val="auto"/>
                              </w:rPr>
                            </w:pPr>
                            <w:r w:rsidRPr="00314BB5">
                              <w:rPr>
                                <w:b/>
                                <w:color w:val="auto"/>
                              </w:rPr>
                              <w:t>Unterrichtsanschlüsse</w:t>
                            </w:r>
                            <w:r w:rsidRPr="00314BB5">
                              <w:rPr>
                                <w:color w:val="auto"/>
                              </w:rPr>
                              <w:t xml:space="preserve"> </w:t>
                            </w:r>
                            <w:r>
                              <w:rPr>
                                <w:color w:val="auto"/>
                              </w:rPr>
                              <w:t>Dieser Versuch kann zur Vertiefung und Aktivierung verwendet we</w:t>
                            </w:r>
                            <w:r>
                              <w:rPr>
                                <w:color w:val="auto"/>
                              </w:rPr>
                              <w:t>r</w:t>
                            </w:r>
                            <w:r>
                              <w:rPr>
                                <w:color w:val="auto"/>
                              </w:rPr>
                              <w:t xml:space="preserve">den. Des Weiteren wäre es von Vorteil, wenn </w:t>
                            </w:r>
                            <w:proofErr w:type="spellStart"/>
                            <w:r>
                              <w:rPr>
                                <w:color w:val="auto"/>
                              </w:rPr>
                              <w:t>SuS</w:t>
                            </w:r>
                            <w:proofErr w:type="spellEnd"/>
                            <w:r>
                              <w:rPr>
                                <w:color w:val="auto"/>
                              </w:rPr>
                              <w:t xml:space="preserve"> wissen, dass Zündenergie, </w:t>
                            </w:r>
                            <w:proofErr w:type="spellStart"/>
                            <w:r>
                              <w:rPr>
                                <w:color w:val="auto"/>
                              </w:rPr>
                              <w:t>Brandgut</w:t>
                            </w:r>
                            <w:proofErr w:type="spellEnd"/>
                            <w:r>
                              <w:rPr>
                                <w:color w:val="auto"/>
                              </w:rPr>
                              <w:t xml:space="preserve"> und Sa</w:t>
                            </w:r>
                            <w:r>
                              <w:rPr>
                                <w:color w:val="auto"/>
                              </w:rPr>
                              <w:t>u</w:t>
                            </w:r>
                            <w:r>
                              <w:rPr>
                                <w:color w:val="auto"/>
                              </w:rPr>
                              <w:t>erstoff für einen Brand relevant sind.</w:t>
                            </w:r>
                            <w:r w:rsidRPr="00314BB5">
                              <w:rPr>
                                <w:color w:val="auto"/>
                              </w:rPr>
                              <w:t xml:space="preserve"> </w:t>
                            </w:r>
                            <w:r>
                              <w:rPr>
                                <w:color w:val="auto"/>
                              </w:rPr>
                              <w:t xml:space="preserve">Gleichzeitig kann an dieser Stelle ein Bezug zur Funktion von Wasser als Brandlöscher hergestellt werden. Um die </w:t>
                            </w:r>
                            <w:r>
                              <w:t>Sichtbarkeit der Flamme bei Licht zu verbessern, kann eine Spatelspitze Kochsalz in das Ethanol-Wasser-Gemisch gegeben werden, da das Natrium die Flamme gelb-orange färbt, was deutlich wahrzunehmen ist.</w:t>
                            </w:r>
                            <w:r w:rsidRPr="00314BB5">
                              <w:rPr>
                                <w:color w:val="auto"/>
                              </w:rPr>
                              <w:t xml:space="preserve"> </w:t>
                            </w:r>
                            <w:r>
                              <w:rPr>
                                <w:color w:val="auto"/>
                              </w:rPr>
                              <w:t xml:space="preserve">Darüber hinaus ist es möglich Spiritus (Alltagsbezug) statt Ethanol zu verwenden.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1.7pt;height:1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" fillcolor="white [3201]" strokecolor="#c0504d [3205]" strokeweight="1pt">
                <v:stroke dashstyle="dash"/>
                <v:shadow color="#868686"/>
                <v:textbox>
                  <w:txbxContent>
                    <w:p w:rsidR="009B513F" w:rsidRPr="00314BB5" w:rsidRDefault="009B513F" w:rsidP="009B513F">
                      <w:pPr>
                        <w:rPr>
                          <w:color w:val="auto"/>
                        </w:rPr>
                      </w:pPr>
                      <w:r w:rsidRPr="00314BB5">
                        <w:rPr>
                          <w:b/>
                          <w:color w:val="auto"/>
                        </w:rPr>
                        <w:t>Unterrichtsanschlüsse</w:t>
                      </w:r>
                      <w:r w:rsidRPr="00314BB5">
                        <w:rPr>
                          <w:color w:val="auto"/>
                        </w:rPr>
                        <w:t xml:space="preserve"> </w:t>
                      </w:r>
                      <w:r>
                        <w:rPr>
                          <w:color w:val="auto"/>
                        </w:rPr>
                        <w:t>Dieser Versuch kann zur Vertiefung und Aktivierung verwendet we</w:t>
                      </w:r>
                      <w:r>
                        <w:rPr>
                          <w:color w:val="auto"/>
                        </w:rPr>
                        <w:t>r</w:t>
                      </w:r>
                      <w:r>
                        <w:rPr>
                          <w:color w:val="auto"/>
                        </w:rPr>
                        <w:t xml:space="preserve">den. Des Weiteren wäre es von Vorteil, wenn </w:t>
                      </w:r>
                      <w:proofErr w:type="spellStart"/>
                      <w:r>
                        <w:rPr>
                          <w:color w:val="auto"/>
                        </w:rPr>
                        <w:t>SuS</w:t>
                      </w:r>
                      <w:proofErr w:type="spellEnd"/>
                      <w:r>
                        <w:rPr>
                          <w:color w:val="auto"/>
                        </w:rPr>
                        <w:t xml:space="preserve"> wissen, dass Zündenergie, </w:t>
                      </w:r>
                      <w:proofErr w:type="spellStart"/>
                      <w:r>
                        <w:rPr>
                          <w:color w:val="auto"/>
                        </w:rPr>
                        <w:t>Brandgut</w:t>
                      </w:r>
                      <w:proofErr w:type="spellEnd"/>
                      <w:r>
                        <w:rPr>
                          <w:color w:val="auto"/>
                        </w:rPr>
                        <w:t xml:space="preserve"> und Sa</w:t>
                      </w:r>
                      <w:r>
                        <w:rPr>
                          <w:color w:val="auto"/>
                        </w:rPr>
                        <w:t>u</w:t>
                      </w:r>
                      <w:r>
                        <w:rPr>
                          <w:color w:val="auto"/>
                        </w:rPr>
                        <w:t>erstoff für einen Brand relevant sind.</w:t>
                      </w:r>
                      <w:r w:rsidRPr="00314BB5">
                        <w:rPr>
                          <w:color w:val="auto"/>
                        </w:rPr>
                        <w:t xml:space="preserve"> </w:t>
                      </w:r>
                      <w:r>
                        <w:rPr>
                          <w:color w:val="auto"/>
                        </w:rPr>
                        <w:t xml:space="preserve">Gleichzeitig kann an dieser Stelle ein Bezug zur Funktion von Wasser als Brandlöscher hergestellt werden. Um die </w:t>
                      </w:r>
                      <w:r>
                        <w:t>Sichtbarkeit der Flamme bei Licht zu verbessern, kann eine Spatelspitze Kochsalz in das Ethanol-Wasser-Gemisch gegeben werden, da das Natrium die Flamme gelb-orange färbt, was deutlich wahrzunehmen ist.</w:t>
                      </w:r>
                      <w:r w:rsidRPr="00314BB5">
                        <w:rPr>
                          <w:color w:val="auto"/>
                        </w:rPr>
                        <w:t xml:space="preserve"> </w:t>
                      </w:r>
                      <w:r>
                        <w:rPr>
                          <w:color w:val="auto"/>
                        </w:rPr>
                        <w:t xml:space="preserve">Darüber hinaus ist es möglich Spiritus (Alltagsbezug) statt Ethanol zu verwenden. </w:t>
                      </w:r>
                    </w:p>
                  </w:txbxContent>
                </v:textbox>
                <w10:anchorlock/>
              </v:shape>
            </w:pict>
          </mc:Fallback>
        </mc:AlternateContent>
      </w:r>
    </w:p>
    <w:p w:rsidR="009B513F" w:rsidRPr="009B513F" w:rsidRDefault="009B513F" w:rsidP="009B513F">
      <w:pPr>
        <w:tabs>
          <w:tab w:val="left" w:pos="1701"/>
          <w:tab w:val="left" w:pos="1985"/>
        </w:tabs>
        <w:rPr>
          <w:rFonts w:eastAsiaTheme="minorEastAsia"/>
        </w:rPr>
      </w:pPr>
    </w:p>
    <w:sectPr w:rsidR="009B513F" w:rsidRPr="009B5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3F"/>
    <w:rsid w:val="002B41F2"/>
    <w:rsid w:val="009B5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13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513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513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513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51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51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51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51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51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51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13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513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513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513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51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51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51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51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51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513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B51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13F"/>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13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513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513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513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51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51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51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51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51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51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13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513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513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513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51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51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51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51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51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513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B51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13F"/>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2013-08-13T20:04:00Z</dcterms:created>
  <dcterms:modified xsi:type="dcterms:W3CDTF">2013-08-13T20:06:00Z</dcterms:modified>
</cp:coreProperties>
</file>