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E21" w:rsidRDefault="002B2E21" w:rsidP="002B2E21">
      <w:pPr>
        <w:pStyle w:val="berschrift1"/>
        <w:numPr>
          <w:ilvl w:val="0"/>
          <w:numId w:val="0"/>
        </w:numPr>
        <w:ind w:left="431" w:hanging="431"/>
      </w:pPr>
      <w:bookmarkStart w:id="0" w:name="_Toc338320968"/>
      <w:r>
        <w:t xml:space="preserve">V 1 – Der </w:t>
      </w:r>
      <w:proofErr w:type="spellStart"/>
      <w:r>
        <w:t>Ittensche</w:t>
      </w:r>
      <w:proofErr w:type="spellEnd"/>
      <w:r>
        <w:t xml:space="preserve"> Farbkreis</w:t>
      </w:r>
      <w:bookmarkEnd w:id="0"/>
    </w:p>
    <w:p w:rsidR="002B2E21" w:rsidRDefault="002B2E21" w:rsidP="002B2E21">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62230</wp:posOffset>
                </wp:positionH>
                <wp:positionV relativeFrom="paragraph">
                  <wp:posOffset>172720</wp:posOffset>
                </wp:positionV>
                <wp:extent cx="5965825" cy="878840"/>
                <wp:effectExtent l="14605" t="10795" r="10795" b="152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878840"/>
                        </a:xfrm>
                        <a:prstGeom prst="rect">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21" w:rsidRDefault="002B2E21" w:rsidP="002B2E21">
                            <w:r>
                              <w:t>Dieser Versuch hat Überschneidungen mit dem Kunstunterricht und ist auf Grund seiner Einfac</w:t>
                            </w:r>
                            <w:r>
                              <w:t>h</w:t>
                            </w:r>
                            <w:r>
                              <w:t>heit eher zum Beginn der 5. Klasse einzusetzen. Bei der Deutung der Farbigkeit sollte daher der physikalische Hintergrund hervorgehoben werden.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4.9pt;margin-top:13.6pt;width:469.75pt;height:6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" strokecolor="#4bacc6" strokeweight="1pt">
                <v:stroke dashstyle="dash" joinstyle="round"/>
                <v:shadow color="#868686"/>
                <v:textbox inset="0,0,0,0">
                  <w:txbxContent>
                    <w:p w:rsidR="002B2E21" w:rsidRDefault="002B2E21" w:rsidP="002B2E21">
                      <w:r>
                        <w:t>Dieser Versuch hat Überschneidungen mit dem Kunstunterricht und ist auf Grund seiner Einfac</w:t>
                      </w:r>
                      <w:r>
                        <w:t>h</w:t>
                      </w:r>
                      <w:r>
                        <w:t>heit eher zum Beginn der 5. Klasse einzusetzen. Bei der Deutung der Farbigkeit sollte daher der physikalische Hintergrund hervorgehoben werden.</w:t>
                      </w:r>
                    </w:p>
                  </w:txbxContent>
                </v:textbox>
              </v:shape>
            </w:pict>
          </mc:Fallback>
        </mc:AlternateContent>
      </w:r>
    </w:p>
    <w:p w:rsidR="002B2E21" w:rsidRDefault="002B2E21" w:rsidP="002B2E21"/>
    <w:p w:rsidR="002B2E21" w:rsidRDefault="002B2E21" w:rsidP="002B2E21"/>
    <w:p w:rsidR="002B2E21" w:rsidRDefault="002B2E21" w:rsidP="002B2E21"/>
    <w:tbl>
      <w:tblPr>
        <w:tblW w:w="0" w:type="auto"/>
        <w:tblInd w:w="146" w:type="dxa"/>
        <w:tblLayout w:type="fixed"/>
        <w:tblCellMar>
          <w:left w:w="0" w:type="dxa"/>
          <w:right w:w="0" w:type="dxa"/>
        </w:tblCellMar>
        <w:tblLook w:val="04A0" w:firstRow="1" w:lastRow="0" w:firstColumn="1" w:lastColumn="0" w:noHBand="0" w:noVBand="1"/>
      </w:tblPr>
      <w:tblGrid>
        <w:gridCol w:w="2005"/>
        <w:gridCol w:w="190"/>
        <w:gridCol w:w="1484"/>
        <w:gridCol w:w="947"/>
        <w:gridCol w:w="1611"/>
        <w:gridCol w:w="2447"/>
      </w:tblGrid>
      <w:tr w:rsidR="002B2E21" w:rsidTr="002B2E21">
        <w:tc>
          <w:tcPr>
            <w:tcW w:w="2195" w:type="dxa"/>
            <w:gridSpan w:val="2"/>
            <w:tcBorders>
              <w:top w:val="single" w:sz="8" w:space="0" w:color="808080"/>
              <w:left w:val="nil"/>
              <w:bottom w:val="nil"/>
              <w:right w:val="nil"/>
            </w:tcBorders>
            <w:shd w:val="clear" w:color="auto" w:fill="D3DFEE"/>
            <w:vAlign w:val="center"/>
            <w:hideMark/>
          </w:tcPr>
          <w:p w:rsidR="002B2E21" w:rsidRDefault="002B2E21">
            <w:pPr>
              <w:suppressAutoHyphens/>
              <w:snapToGrid w:val="0"/>
              <w:spacing w:line="100" w:lineRule="atLeast"/>
              <w:jc w:val="center"/>
              <w:rPr>
                <w:rFonts w:eastAsia="Lucida Sans Unicode" w:cs="Mangal"/>
                <w:b/>
                <w:bCs/>
                <w:color w:val="365F91"/>
                <w:kern w:val="2"/>
                <w:sz w:val="20"/>
                <w:szCs w:val="24"/>
                <w:lang w:eastAsia="hi-IN" w:bidi="hi-IN"/>
              </w:rPr>
            </w:pPr>
            <w:r>
              <w:rPr>
                <w:b/>
                <w:bCs/>
                <w:color w:val="365F91"/>
                <w:sz w:val="20"/>
              </w:rPr>
              <w:t>Gefahrenstoffe</w:t>
            </w:r>
          </w:p>
        </w:tc>
        <w:tc>
          <w:tcPr>
            <w:tcW w:w="2431" w:type="dxa"/>
            <w:gridSpan w:val="2"/>
            <w:shd w:val="clear" w:color="auto" w:fill="D3DFEE"/>
            <w:hideMark/>
          </w:tcPr>
          <w:p w:rsidR="002B2E21" w:rsidRDefault="002B2E21">
            <w:pPr>
              <w:suppressAutoHyphens/>
              <w:snapToGrid w:val="0"/>
              <w:spacing w:line="100" w:lineRule="atLeast"/>
              <w:jc w:val="center"/>
              <w:rPr>
                <w:rFonts w:eastAsia="Lucida Sans Unicode" w:cs="Mangal"/>
                <w:b/>
                <w:bCs/>
                <w:color w:val="365F91"/>
                <w:kern w:val="2"/>
                <w:sz w:val="24"/>
                <w:szCs w:val="24"/>
                <w:lang w:eastAsia="hi-IN" w:bidi="hi-IN"/>
              </w:rPr>
            </w:pPr>
            <w:r>
              <w:rPr>
                <w:b/>
                <w:bCs/>
                <w:color w:val="365F91"/>
              </w:rPr>
              <w:t xml:space="preserve">keine      </w:t>
            </w:r>
          </w:p>
        </w:tc>
        <w:tc>
          <w:tcPr>
            <w:tcW w:w="4058" w:type="dxa"/>
            <w:gridSpan w:val="2"/>
          </w:tcPr>
          <w:p w:rsidR="002B2E21" w:rsidRDefault="002B2E21">
            <w:pPr>
              <w:suppressAutoHyphens/>
              <w:snapToGrid w:val="0"/>
              <w:rPr>
                <w:rFonts w:eastAsia="Lucida Sans Unicode" w:cs="Mangal"/>
                <w:b/>
                <w:bCs/>
                <w:color w:val="365F91"/>
                <w:kern w:val="2"/>
                <w:sz w:val="24"/>
                <w:szCs w:val="24"/>
                <w:lang w:eastAsia="hi-IN" w:bidi="hi-IN"/>
              </w:rPr>
            </w:pPr>
          </w:p>
        </w:tc>
      </w:tr>
      <w:tr w:rsidR="002B2E21" w:rsidTr="002B2E21">
        <w:tc>
          <w:tcPr>
            <w:tcW w:w="2005" w:type="dxa"/>
            <w:tcBorders>
              <w:top w:val="nil"/>
              <w:left w:val="nil"/>
              <w:bottom w:val="single" w:sz="8" w:space="0" w:color="808080"/>
              <w:right w:val="nil"/>
            </w:tcBorders>
            <w:tcMar>
              <w:top w:w="0" w:type="dxa"/>
              <w:left w:w="108" w:type="dxa"/>
              <w:bottom w:w="0" w:type="dxa"/>
              <w:right w:w="108" w:type="dxa"/>
            </w:tcMar>
            <w:vAlign w:val="center"/>
          </w:tcPr>
          <w:p w:rsidR="002B2E21" w:rsidRDefault="002B2E21">
            <w:pPr>
              <w:suppressAutoHyphens/>
              <w:snapToGrid w:val="0"/>
              <w:spacing w:line="100" w:lineRule="atLeast"/>
              <w:jc w:val="center"/>
              <w:rPr>
                <w:rFonts w:eastAsia="Lucida Sans Unicode" w:cs="Mangal"/>
                <w:b/>
                <w:bCs/>
                <w:color w:val="365F91"/>
                <w:kern w:val="2"/>
                <w:sz w:val="24"/>
                <w:szCs w:val="24"/>
                <w:lang w:eastAsia="hi-IN" w:bidi="hi-IN"/>
              </w:rPr>
            </w:pPr>
          </w:p>
        </w:tc>
        <w:tc>
          <w:tcPr>
            <w:tcW w:w="1674" w:type="dxa"/>
            <w:gridSpan w:val="2"/>
            <w:tcBorders>
              <w:top w:val="nil"/>
              <w:left w:val="nil"/>
              <w:bottom w:val="single" w:sz="8" w:space="0" w:color="808080"/>
              <w:right w:val="nil"/>
            </w:tcBorders>
            <w:tcMar>
              <w:top w:w="0" w:type="dxa"/>
              <w:left w:w="108" w:type="dxa"/>
              <w:bottom w:w="0" w:type="dxa"/>
              <w:right w:w="108" w:type="dxa"/>
            </w:tcMar>
            <w:vAlign w:val="center"/>
            <w:hideMark/>
          </w:tcPr>
          <w:p w:rsidR="002B2E21" w:rsidRDefault="002B2E21">
            <w:pPr>
              <w:suppressAutoHyphens/>
              <w:snapToGrid w:val="0"/>
              <w:spacing w:line="100" w:lineRule="atLeast"/>
              <w:ind w:hanging="44"/>
              <w:jc w:val="center"/>
              <w:rPr>
                <w:rFonts w:eastAsia="Lucida Sans Unicode" w:cs="Mangal"/>
                <w:kern w:val="2"/>
                <w:sz w:val="24"/>
                <w:szCs w:val="24"/>
                <w:lang w:eastAsia="hi-IN" w:bidi="hi-IN"/>
              </w:rPr>
            </w:pPr>
          </w:p>
        </w:tc>
        <w:tc>
          <w:tcPr>
            <w:tcW w:w="2558" w:type="dxa"/>
            <w:gridSpan w:val="2"/>
            <w:tcBorders>
              <w:top w:val="nil"/>
              <w:left w:val="nil"/>
              <w:bottom w:val="single" w:sz="8" w:space="0" w:color="808080"/>
              <w:right w:val="nil"/>
            </w:tcBorders>
            <w:tcMar>
              <w:top w:w="0" w:type="dxa"/>
              <w:left w:w="108" w:type="dxa"/>
              <w:bottom w:w="0" w:type="dxa"/>
              <w:right w:w="108" w:type="dxa"/>
            </w:tcMar>
            <w:vAlign w:val="center"/>
          </w:tcPr>
          <w:p w:rsidR="002B2E21" w:rsidRDefault="002B2E21">
            <w:pPr>
              <w:suppressAutoHyphens/>
              <w:snapToGrid w:val="0"/>
              <w:spacing w:line="100" w:lineRule="atLeast"/>
              <w:ind w:hanging="44"/>
              <w:jc w:val="center"/>
              <w:rPr>
                <w:rFonts w:eastAsia="Lucida Sans Unicode" w:cs="Mangal"/>
                <w:kern w:val="2"/>
                <w:sz w:val="24"/>
                <w:szCs w:val="24"/>
                <w:lang w:eastAsia="hi-IN" w:bidi="hi-IN"/>
              </w:rPr>
            </w:pPr>
          </w:p>
        </w:tc>
        <w:tc>
          <w:tcPr>
            <w:tcW w:w="2447" w:type="dxa"/>
            <w:tcMar>
              <w:top w:w="0" w:type="dxa"/>
              <w:left w:w="108" w:type="dxa"/>
              <w:bottom w:w="0" w:type="dxa"/>
              <w:right w:w="108" w:type="dxa"/>
            </w:tcMar>
          </w:tcPr>
          <w:p w:rsidR="002B2E21" w:rsidRDefault="002B2E21">
            <w:pPr>
              <w:suppressAutoHyphens/>
              <w:snapToGrid w:val="0"/>
              <w:spacing w:line="100" w:lineRule="atLeast"/>
              <w:ind w:hanging="44"/>
              <w:jc w:val="center"/>
              <w:rPr>
                <w:rFonts w:eastAsia="Lucida Sans Unicode" w:cs="Mangal"/>
                <w:color w:val="365F91"/>
                <w:kern w:val="2"/>
                <w:sz w:val="20"/>
                <w:szCs w:val="24"/>
                <w:lang w:eastAsia="hi-IN" w:bidi="hi-IN"/>
              </w:rPr>
            </w:pPr>
          </w:p>
        </w:tc>
      </w:tr>
    </w:tbl>
    <w:p w:rsidR="002B2E21" w:rsidRDefault="002B2E21" w:rsidP="002B2E21">
      <w:pPr>
        <w:rPr>
          <w:rFonts w:eastAsia="Lucida Sans Unicode" w:cs="Mangal"/>
          <w:kern w:val="2"/>
          <w:lang w:eastAsia="hi-IN" w:bidi="hi-IN"/>
        </w:rPr>
      </w:pPr>
    </w:p>
    <w:p w:rsidR="002B2E21" w:rsidRDefault="002B2E21" w:rsidP="002B2E21">
      <w:pPr>
        <w:ind w:left="1980" w:hanging="1980"/>
      </w:pPr>
      <w:r>
        <w:t>Voraussetzungen:</w:t>
      </w:r>
      <w:r>
        <w:tab/>
        <w:t>Die SuS sollten weißes Licht bereits als farbiges Strahlenbündel kennen (V4).</w:t>
      </w:r>
    </w:p>
    <w:p w:rsidR="002B2E21" w:rsidRDefault="002B2E21" w:rsidP="002B2E21">
      <w:pPr>
        <w:ind w:left="1980" w:hanging="1980"/>
      </w:pPr>
      <w:r>
        <w:t xml:space="preserve">Materialien: </w:t>
      </w:r>
      <w:r>
        <w:tab/>
        <w:t xml:space="preserve">Wasserglas, Tuschkasten, Pinsel, </w:t>
      </w:r>
      <w:proofErr w:type="spellStart"/>
      <w:r>
        <w:t>Malvorlage</w:t>
      </w:r>
      <w:proofErr w:type="spellEnd"/>
      <w:r>
        <w:t>, ggf. Papiertücher zum Troc</w:t>
      </w:r>
      <w:r>
        <w:t>k</w:t>
      </w:r>
      <w:r>
        <w:t>nen des Pinsels</w:t>
      </w:r>
    </w:p>
    <w:p w:rsidR="002B2E21" w:rsidRDefault="002B2E21" w:rsidP="002B2E21">
      <w:pPr>
        <w:ind w:left="1980" w:hanging="1980"/>
      </w:pPr>
      <w:r>
        <w:t>Chemikalien:</w:t>
      </w:r>
      <w:r>
        <w:tab/>
        <w:t>Wasser, Tuschfarben Rot, Gelb und Blau</w:t>
      </w:r>
    </w:p>
    <w:p w:rsidR="002B2E21" w:rsidRDefault="002B2E21" w:rsidP="002B2E21">
      <w:pPr>
        <w:tabs>
          <w:tab w:val="left" w:pos="1701"/>
          <w:tab w:val="left" w:pos="1985"/>
        </w:tabs>
        <w:ind w:left="1980" w:hanging="1980"/>
      </w:pPr>
      <w:r>
        <w:t xml:space="preserve">Durchführung: </w:t>
      </w:r>
      <w:r>
        <w:tab/>
      </w:r>
      <w:r>
        <w:tab/>
        <w:t xml:space="preserve">Die Vorlage mit dem </w:t>
      </w:r>
      <w:proofErr w:type="spellStart"/>
      <w:r>
        <w:t>Ittenschen</w:t>
      </w:r>
      <w:proofErr w:type="spellEnd"/>
      <w:r>
        <w:t xml:space="preserve"> Farbkreis wird nach der in den einzelnen Feldern gegebenen Anleitung farbig ausgefüllt.</w:t>
      </w:r>
    </w:p>
    <w:p w:rsidR="002B2E21" w:rsidRDefault="002B2E21" w:rsidP="002B2E21">
      <w:pPr>
        <w:tabs>
          <w:tab w:val="left" w:pos="1701"/>
          <w:tab w:val="left" w:pos="1985"/>
        </w:tabs>
        <w:ind w:left="1980" w:hanging="1980"/>
      </w:pPr>
      <w:r>
        <w:t>Beobachtung:</w:t>
      </w:r>
      <w:r>
        <w:tab/>
      </w:r>
      <w:r>
        <w:tab/>
      </w:r>
      <w:r>
        <w:tab/>
        <w:t>Durch Mischen von Rot, Blau und Gelb entstehen weitere Farben: Gelb und Blau ergibt Grün, Gelb und Rot ergibt Orange, Rot und Blau ergibt Violette. Im äußeren Farbkreis entstehen weitere Farbtöne.</w:t>
      </w:r>
    </w:p>
    <w:p w:rsidR="002B2E21" w:rsidRDefault="002B2E21" w:rsidP="002B2E21">
      <w:pPr>
        <w:tabs>
          <w:tab w:val="left" w:pos="1701"/>
          <w:tab w:val="left" w:pos="1985"/>
        </w:tabs>
        <w:ind w:left="1980" w:hanging="1980"/>
      </w:pPr>
      <w:r>
        <w:rPr>
          <w:noProof/>
          <w:lang w:eastAsia="de-DE"/>
        </w:rPr>
        <w:drawing>
          <wp:anchor distT="0" distB="0" distL="0" distR="0" simplePos="0" relativeHeight="251658240" behindDoc="0" locked="0" layoutInCell="1" allowOverlap="1">
            <wp:simplePos x="0" y="0"/>
            <wp:positionH relativeFrom="column">
              <wp:posOffset>1138555</wp:posOffset>
            </wp:positionH>
            <wp:positionV relativeFrom="paragraph">
              <wp:posOffset>49530</wp:posOffset>
            </wp:positionV>
            <wp:extent cx="3449955" cy="2549525"/>
            <wp:effectExtent l="0" t="0" r="0" b="3175"/>
            <wp:wrapSquare wrapText="larges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955" cy="2549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B2E21" w:rsidRDefault="002B2E21" w:rsidP="002B2E21">
      <w:pPr>
        <w:tabs>
          <w:tab w:val="left" w:pos="1701"/>
          <w:tab w:val="left" w:pos="1985"/>
        </w:tabs>
        <w:ind w:left="1980" w:hanging="1980"/>
      </w:pPr>
    </w:p>
    <w:p w:rsidR="002B2E21" w:rsidRDefault="002B2E21" w:rsidP="002B2E21">
      <w:pPr>
        <w:tabs>
          <w:tab w:val="left" w:pos="1701"/>
          <w:tab w:val="left" w:pos="1985"/>
        </w:tabs>
        <w:ind w:left="1980" w:hanging="1980"/>
      </w:pPr>
    </w:p>
    <w:p w:rsidR="002B2E21" w:rsidRDefault="002B2E21" w:rsidP="002B2E21">
      <w:pPr>
        <w:tabs>
          <w:tab w:val="left" w:pos="1701"/>
          <w:tab w:val="left" w:pos="1985"/>
        </w:tabs>
        <w:ind w:left="1980" w:hanging="1980"/>
      </w:pPr>
    </w:p>
    <w:p w:rsidR="002B2E21" w:rsidRDefault="002B2E21" w:rsidP="002B2E21">
      <w:pPr>
        <w:tabs>
          <w:tab w:val="left" w:pos="1701"/>
          <w:tab w:val="left" w:pos="1985"/>
        </w:tabs>
        <w:ind w:left="1980" w:hanging="1980"/>
      </w:pPr>
    </w:p>
    <w:p w:rsidR="002B2E21" w:rsidRDefault="002B2E21" w:rsidP="002B2E21">
      <w:pPr>
        <w:tabs>
          <w:tab w:val="left" w:pos="1701"/>
          <w:tab w:val="left" w:pos="1985"/>
        </w:tabs>
        <w:ind w:left="1980" w:hanging="1980"/>
      </w:pPr>
    </w:p>
    <w:p w:rsidR="002B2E21" w:rsidRDefault="002B2E21" w:rsidP="002B2E21">
      <w:pPr>
        <w:tabs>
          <w:tab w:val="left" w:pos="1701"/>
          <w:tab w:val="left" w:pos="1985"/>
        </w:tabs>
        <w:ind w:left="1980" w:hanging="1980"/>
      </w:pPr>
      <w:r>
        <w:rPr>
          <w:noProof/>
          <w:lang w:eastAsia="de-DE"/>
        </w:rPr>
        <w:lastRenderedPageBreak/>
        <mc:AlternateContent>
          <mc:Choice Requires="wps">
            <w:drawing>
              <wp:anchor distT="0" distB="0" distL="114300" distR="114300" simplePos="0" relativeHeight="251658240" behindDoc="0" locked="0" layoutInCell="1" allowOverlap="1">
                <wp:simplePos x="0" y="0"/>
                <wp:positionH relativeFrom="column">
                  <wp:posOffset>1276350</wp:posOffset>
                </wp:positionH>
                <wp:positionV relativeFrom="paragraph">
                  <wp:posOffset>-17780</wp:posOffset>
                </wp:positionV>
                <wp:extent cx="4401185" cy="200025"/>
                <wp:effectExtent l="0" t="127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2E21" w:rsidRDefault="002B2E21" w:rsidP="002B2E21">
                            <w:pPr>
                              <w:rPr>
                                <w:sz w:val="18"/>
                                <w:szCs w:val="18"/>
                              </w:rPr>
                            </w:pPr>
                            <w:r>
                              <w:rPr>
                                <w:sz w:val="18"/>
                                <w:szCs w:val="18"/>
                              </w:rPr>
                              <w:t xml:space="preserve">Abbildung 1  - Versuchsaufbau mit ausgemaltem </w:t>
                            </w:r>
                            <w:proofErr w:type="spellStart"/>
                            <w:r>
                              <w:rPr>
                                <w:sz w:val="18"/>
                                <w:szCs w:val="18"/>
                              </w:rPr>
                              <w:t>Ittenschen</w:t>
                            </w:r>
                            <w:proofErr w:type="spellEnd"/>
                            <w:r>
                              <w:rPr>
                                <w:sz w:val="18"/>
                                <w:szCs w:val="18"/>
                              </w:rPr>
                              <w:t xml:space="preserve"> Farbkreis.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7" type="#_x0000_t202" style="position:absolute;left:0;text-align:left;margin-left:100.5pt;margin-top:-1.4pt;width:346.5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" filled="f" stroked="f">
                <v:stroke joinstyle="round"/>
                <v:textbox inset="0,0,0,0">
                  <w:txbxContent>
                    <w:p w:rsidR="002B2E21" w:rsidRDefault="002B2E21" w:rsidP="002B2E21">
                      <w:pPr>
                        <w:rPr>
                          <w:sz w:val="18"/>
                          <w:szCs w:val="18"/>
                        </w:rPr>
                      </w:pPr>
                      <w:r>
                        <w:rPr>
                          <w:sz w:val="18"/>
                          <w:szCs w:val="18"/>
                        </w:rPr>
                        <w:t xml:space="preserve">Abbildung 1  - Versuchsaufbau mit ausgemaltem </w:t>
                      </w:r>
                      <w:proofErr w:type="spellStart"/>
                      <w:r>
                        <w:rPr>
                          <w:sz w:val="18"/>
                          <w:szCs w:val="18"/>
                        </w:rPr>
                        <w:t>Ittenschen</w:t>
                      </w:r>
                      <w:proofErr w:type="spellEnd"/>
                      <w:r>
                        <w:rPr>
                          <w:sz w:val="18"/>
                          <w:szCs w:val="18"/>
                        </w:rPr>
                        <w:t xml:space="preserve"> Farbkreis.</w:t>
                      </w:r>
                    </w:p>
                  </w:txbxContent>
                </v:textbox>
              </v:shape>
            </w:pict>
          </mc:Fallback>
        </mc:AlternateContent>
      </w:r>
    </w:p>
    <w:p w:rsidR="002B2E21" w:rsidRDefault="002B2E21" w:rsidP="002B2E21">
      <w:pPr>
        <w:tabs>
          <w:tab w:val="left" w:pos="1701"/>
          <w:tab w:val="left" w:pos="1985"/>
        </w:tabs>
        <w:ind w:left="1980" w:hanging="1980"/>
      </w:pPr>
      <w:r>
        <w:t>Deutung:</w:t>
      </w:r>
      <w:r>
        <w:tab/>
      </w:r>
      <w:r>
        <w:tab/>
        <w:t>Weißes Licht besteht aus farbigen Lichtstrahlen. Fällt dieses Licht auf  die gemalten Farbflächen, werden bestimmte Lichtstrahlen durch die Farbe absorbiert. Die übrigen werden reflektiert und bilden die wahrgenommene Farbe. Werden zwei Farben gemischt, absorbiert diese Mischung noch mehr farbige Lichtstrahlen und es entsteht eine neue Farbe. Da Gelb, Rot und Blau nicht aus den anderen Farben gemischt werden können, werden sie als Grundfarben bezeichnet. Eine schwarze Fläche absorbiert alle farb</w:t>
      </w:r>
      <w:r>
        <w:t>i</w:t>
      </w:r>
      <w:r>
        <w:t>gen Lichtstrahlen.</w:t>
      </w:r>
    </w:p>
    <w:p w:rsidR="002B2E21" w:rsidRDefault="002B2E21" w:rsidP="002B2E21">
      <w:pPr>
        <w:tabs>
          <w:tab w:val="left" w:pos="1701"/>
          <w:tab w:val="left" w:pos="1985"/>
        </w:tabs>
        <w:ind w:left="1980" w:hanging="1980"/>
      </w:pPr>
      <w:r>
        <w:t>Literatur:</w:t>
      </w:r>
      <w:r>
        <w:tab/>
      </w:r>
      <w:r>
        <w:tab/>
      </w:r>
      <w:r>
        <w:rPr>
          <w:i/>
          <w:iCs/>
        </w:rPr>
        <w:t xml:space="preserve">Licht und Farben. So macht Chemie Spaß – einfache Experimente </w:t>
      </w:r>
      <w:r>
        <w:t xml:space="preserve">(2011) Chemie Verbände </w:t>
      </w:r>
      <w:bookmarkStart w:id="1" w:name="_GoBack"/>
      <w:bookmarkEnd w:id="1"/>
      <w:r>
        <w:t xml:space="preserve">Baden-Württemberg. </w:t>
      </w:r>
      <w:proofErr w:type="spellStart"/>
      <w:r>
        <w:t>Aquensis</w:t>
      </w:r>
      <w:proofErr w:type="spellEnd"/>
      <w:r>
        <w:t xml:space="preserve"> Verlag Pressebüro B</w:t>
      </w:r>
      <w:r>
        <w:t>a</w:t>
      </w:r>
      <w:r>
        <w:t>den-Baden GmbH</w:t>
      </w:r>
    </w:p>
    <w:p w:rsidR="002B2E21" w:rsidRDefault="002B2E21" w:rsidP="002B2E21">
      <w:pPr>
        <w:tabs>
          <w:tab w:val="left" w:pos="1701"/>
          <w:tab w:val="left" w:pos="1985"/>
        </w:tabs>
        <w:ind w:left="1980" w:hanging="1980"/>
      </w:pPr>
    </w:p>
    <w:p w:rsidR="002B2E21" w:rsidRDefault="002B2E21" w:rsidP="002B2E21">
      <w:pPr>
        <w:tabs>
          <w:tab w:val="left" w:pos="1701"/>
          <w:tab w:val="left" w:pos="1985"/>
        </w:tabs>
        <w:ind w:left="1980" w:hanging="1980"/>
        <w:rPr>
          <w:sz w:val="18"/>
        </w:rPr>
      </w:pPr>
    </w:p>
    <w:p w:rsidR="002B2E21" w:rsidRDefault="002B2E21" w:rsidP="002B2E21">
      <w:pPr>
        <w:tabs>
          <w:tab w:val="left" w:pos="1701"/>
          <w:tab w:val="left" w:pos="1985"/>
        </w:tabs>
        <w:ind w:left="1980" w:hanging="1980"/>
        <w:rPr>
          <w:sz w:val="18"/>
        </w:rPr>
      </w:pPr>
      <w:r>
        <w:rPr>
          <w:noProof/>
          <w:sz w:val="24"/>
          <w:lang w:eastAsia="de-DE"/>
        </w:rPr>
        <mc:AlternateContent>
          <mc:Choice Requires="wps">
            <w:drawing>
              <wp:anchor distT="0" distB="0" distL="114300" distR="114300" simplePos="0" relativeHeight="251658240" behindDoc="0" locked="0" layoutInCell="1" allowOverlap="1">
                <wp:simplePos x="0" y="0"/>
                <wp:positionH relativeFrom="column">
                  <wp:posOffset>62230</wp:posOffset>
                </wp:positionH>
                <wp:positionV relativeFrom="paragraph">
                  <wp:posOffset>-7620</wp:posOffset>
                </wp:positionV>
                <wp:extent cx="5965825" cy="513715"/>
                <wp:effectExtent l="14605" t="11430" r="10795" b="82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513715"/>
                        </a:xfrm>
                        <a:prstGeom prst="rect">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21" w:rsidRDefault="002B2E21" w:rsidP="002B2E21">
                            <w:r>
                              <w:t>Dieser Versuch zeigt lediglich die Mischung von Farben. Ein Vergleich mit der Mischung farbigen Lichtes bietet sich im Unterricht an.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28" type="#_x0000_t202" style="position:absolute;left:0;text-align:left;margin-left:4.9pt;margin-top:-.6pt;width:469.75pt;height:4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" strokecolor="#4bacc6" strokeweight="1pt">
                <v:stroke dashstyle="dash" joinstyle="round"/>
                <v:shadow color="#868686"/>
                <v:textbox inset="0,0,0,0">
                  <w:txbxContent>
                    <w:p w:rsidR="002B2E21" w:rsidRDefault="002B2E21" w:rsidP="002B2E21">
                      <w:r>
                        <w:t>Dieser Versuch zeigt lediglich die Mischung von Farben. Ein Vergleich mit der Mischung farbigen Lichtes bietet sich im Unterricht an.</w:t>
                      </w:r>
                    </w:p>
                  </w:txbxContent>
                </v:textbox>
              </v:shape>
            </w:pict>
          </mc:Fallback>
        </mc:AlternateContent>
      </w:r>
    </w:p>
    <w:p w:rsidR="002B2E21" w:rsidRDefault="002B2E21" w:rsidP="002B2E21">
      <w:pPr>
        <w:tabs>
          <w:tab w:val="left" w:pos="1701"/>
          <w:tab w:val="left" w:pos="1985"/>
        </w:tabs>
        <w:ind w:left="1980" w:hanging="1980"/>
        <w:rPr>
          <w:sz w:val="18"/>
        </w:rPr>
      </w:pPr>
    </w:p>
    <w:p w:rsidR="002B2E21" w:rsidRDefault="002B2E21" w:rsidP="002B2E21">
      <w:pPr>
        <w:tabs>
          <w:tab w:val="left" w:pos="1701"/>
          <w:tab w:val="left" w:pos="1985"/>
        </w:tabs>
        <w:ind w:left="1980" w:hanging="1980"/>
        <w:rPr>
          <w:sz w:val="18"/>
        </w:rPr>
      </w:pPr>
    </w:p>
    <w:p w:rsidR="002B2E21" w:rsidRDefault="002B2E21" w:rsidP="002B2E21">
      <w:pPr>
        <w:tabs>
          <w:tab w:val="left" w:pos="1701"/>
          <w:tab w:val="left" w:pos="1985"/>
        </w:tabs>
        <w:ind w:left="1980" w:hanging="1980"/>
        <w:rPr>
          <w:sz w:val="18"/>
        </w:rPr>
      </w:pPr>
    </w:p>
    <w:p w:rsidR="00BE6DD9" w:rsidRPr="002B2E21" w:rsidRDefault="00BE6DD9" w:rsidP="002B2E21"/>
    <w:sectPr w:rsidR="00BE6DD9" w:rsidRPr="002B2E21"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7CC" w:rsidRDefault="00F627CC" w:rsidP="009524CC">
      <w:pPr>
        <w:spacing w:after="0"/>
      </w:pPr>
      <w:r>
        <w:separator/>
      </w:r>
    </w:p>
  </w:endnote>
  <w:endnote w:type="continuationSeparator" w:id="0">
    <w:p w:rsidR="00F627CC" w:rsidRDefault="00F627CC"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7CC" w:rsidRDefault="00F627CC" w:rsidP="009524CC">
      <w:pPr>
        <w:spacing w:after="0"/>
      </w:pPr>
      <w:r>
        <w:separator/>
      </w:r>
    </w:p>
  </w:footnote>
  <w:footnote w:type="continuationSeparator" w:id="0">
    <w:p w:rsidR="00F627CC" w:rsidRDefault="00F627CC"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2B2E21" w:rsidRPr="002B2E21">
            <w:rPr>
              <w:b/>
              <w:bCs/>
              <w:noProof/>
              <w:sz w:val="20"/>
              <w:szCs w:val="20"/>
            </w:rPr>
            <w:t>V 1 – Der Ittensche Farbkreis</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2B2E21">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de-DE"/>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7">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2">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0"/>
  </w:num>
  <w:num w:numId="4">
    <w:abstractNumId w:val="10"/>
  </w:num>
  <w:num w:numId="5">
    <w:abstractNumId w:val="6"/>
  </w:num>
  <w:num w:numId="6">
    <w:abstractNumId w:val="12"/>
  </w:num>
  <w:num w:numId="7">
    <w:abstractNumId w:val="9"/>
  </w:num>
  <w:num w:numId="8">
    <w:abstractNumId w:val="2"/>
  </w:num>
  <w:num w:numId="9">
    <w:abstractNumId w:val="3"/>
  </w:num>
  <w:num w:numId="10">
    <w:abstractNumId w:val="4"/>
  </w:num>
  <w:num w:numId="11">
    <w:abstractNumId w:val="5"/>
  </w:num>
  <w:num w:numId="12">
    <w:abstractNumId w:val="8"/>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2E21"/>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7CC"/>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843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73192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42C23-BD77-41E7-8401-6CB99AC7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1185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 Timm Wilke</dc:creator>
  <cp:lastModifiedBy>Timm Wilke</cp:lastModifiedBy>
  <cp:revision>2</cp:revision>
  <cp:lastPrinted>2012-06-21T19:47:00Z</cp:lastPrinted>
  <dcterms:created xsi:type="dcterms:W3CDTF">2013-07-03T08:54:00Z</dcterms:created>
  <dcterms:modified xsi:type="dcterms:W3CDTF">2013-07-03T08:54:00Z</dcterms:modified>
</cp:coreProperties>
</file>