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38320196"/>
    <w:bookmarkStart w:id="1" w:name="_GoBack"/>
    <w:bookmarkEnd w:id="1"/>
    <w:p w:rsidR="00153C75" w:rsidRDefault="00153C75" w:rsidP="00FD2E1F">
      <w:pPr>
        <w:pStyle w:val="berschrift1"/>
        <w:numPr>
          <w:ilvl w:val="0"/>
          <w:numId w:val="0"/>
        </w:numPr>
        <w:tabs>
          <w:tab w:val="left" w:pos="2552"/>
        </w:tabs>
        <w:ind w:left="431" w:hanging="431"/>
      </w:pPr>
      <w:r>
        <w:rPr>
          <w:noProof/>
          <w:lang w:eastAsia="de-DE"/>
        </w:rPr>
        <mc:AlternateContent>
          <mc:Choice Requires="wps">
            <w:drawing>
              <wp:anchor distT="0" distB="0" distL="114300" distR="114300" simplePos="0" relativeHeight="251659264" behindDoc="0" locked="0" layoutInCell="1" allowOverlap="1" wp14:anchorId="51E4F0B6" wp14:editId="56F3678F">
                <wp:simplePos x="0" y="0"/>
                <wp:positionH relativeFrom="column">
                  <wp:posOffset>-635</wp:posOffset>
                </wp:positionH>
                <wp:positionV relativeFrom="paragraph">
                  <wp:posOffset>747395</wp:posOffset>
                </wp:positionV>
                <wp:extent cx="5873115" cy="1072515"/>
                <wp:effectExtent l="0" t="0" r="13335" b="13335"/>
                <wp:wrapSquare wrapText="bothSides"/>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725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3C75" w:rsidRDefault="00153C75" w:rsidP="00153C75">
                            <w:pPr>
                              <w:rPr>
                                <w:color w:val="auto"/>
                              </w:rPr>
                            </w:pPr>
                            <w:r>
                              <w:rPr>
                                <w:color w:val="auto"/>
                              </w:rPr>
                              <w:t>In diesem Demonstrationsversuch soll den Schülern erneut die Luft als Gasgemisch präsentiert werden. Hierbei muss ihnen auch wieder bekannt sein, dass die Luft zum größten Teil aus Sauerstoff und Stickstoff besteht. Als Vorversuch könnte sich das obere Experiment anbieten. Mit dem folgenden Versuch wäre eine Anwendung des Gelernten des oberen Versuchs möglich.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1" o:spid="_x0000_s1026" type="#_x0000_t202" style="position:absolute;left:0;text-align:left;margin-left:-.05pt;margin-top:58.85pt;width:462.45pt;height:8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" fillcolor="white [3201]" strokecolor="#4bacc6 [3208]" strokeweight="1pt">
                <v:stroke dashstyle="dash"/>
                <v:shadow color="#868686"/>
                <v:textbox>
                  <w:txbxContent>
                    <w:p w:rsidR="00153C75" w:rsidRDefault="00153C75" w:rsidP="00153C75">
                      <w:pPr>
                        <w:rPr>
                          <w:color w:val="auto"/>
                        </w:rPr>
                      </w:pPr>
                      <w:r>
                        <w:rPr>
                          <w:color w:val="auto"/>
                        </w:rPr>
                        <w:t>In diesem Demonstrationsversuch soll den Schülern erneut die Luft als Gasgemisch präsentiert werden. Hierbei muss ihnen auch wieder bekannt sein, dass die Luft zum größten Teil aus Sauerstoff und Stickstoff besteht. Als Vorversuch könnte sich das obere Experiment anbieten. Mit dem folgenden Versuch wäre eine Anwendung des Gelernten des oberen Versuchs möglich.</w:t>
                      </w:r>
                    </w:p>
                  </w:txbxContent>
                </v:textbox>
                <w10:wrap type="square"/>
              </v:shape>
            </w:pict>
          </mc:Fallback>
        </mc:AlternateContent>
      </w:r>
      <w:r>
        <w:t>V 5 – Die Kerze muss "atmen"</w:t>
      </w:r>
      <w:bookmarkEnd w:id="0"/>
    </w:p>
    <w:p w:rsidR="00153C75" w:rsidRDefault="00153C75" w:rsidP="00153C75"/>
    <w:tbl>
      <w:tblPr>
        <w:tblStyle w:val="HelleSchattierung-Akzent11"/>
        <w:tblW w:w="9771" w:type="dxa"/>
        <w:tblLook w:val="04A0" w:firstRow="1" w:lastRow="0" w:firstColumn="1" w:lastColumn="0" w:noHBand="0" w:noVBand="1"/>
      </w:tblPr>
      <w:tblGrid>
        <w:gridCol w:w="2259"/>
        <w:gridCol w:w="1677"/>
        <w:gridCol w:w="2551"/>
        <w:gridCol w:w="3284"/>
      </w:tblGrid>
      <w:tr w:rsidR="00153C75" w:rsidTr="00153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hideMark/>
          </w:tcPr>
          <w:p w:rsidR="00153C75" w:rsidRDefault="00153C75">
            <w:pPr>
              <w:spacing w:after="0"/>
              <w:jc w:val="center"/>
              <w:rPr>
                <w:color w:val="1D1B11" w:themeColor="background2" w:themeShade="1A"/>
                <w:sz w:val="20"/>
              </w:rPr>
            </w:pPr>
            <w:r>
              <w:rPr>
                <w:sz w:val="20"/>
              </w:rPr>
              <w:t>Gefahrenstoffe</w:t>
            </w:r>
          </w:p>
        </w:tc>
        <w:tc>
          <w:tcPr>
            <w:tcW w:w="3284" w:type="dxa"/>
            <w:vMerge w:val="restart"/>
            <w:tcBorders>
              <w:top w:val="nil"/>
              <w:bottom w:val="nil"/>
            </w:tcBorders>
          </w:tcPr>
          <w:p w:rsidR="00153C75" w:rsidRDefault="00153C75">
            <w:pPr>
              <w:spacing w:after="0"/>
              <w:cnfStyle w:val="100000000000" w:firstRow="1" w:lastRow="0" w:firstColumn="0" w:lastColumn="0" w:oddVBand="0" w:evenVBand="0" w:oddHBand="0" w:evenHBand="0" w:firstRowFirstColumn="0" w:firstRowLastColumn="0" w:lastRowFirstColumn="0" w:lastRowLastColumn="0"/>
              <w:rPr>
                <w:noProof/>
                <w:color w:val="0000FF"/>
                <w:lang w:eastAsia="de-DE"/>
              </w:rPr>
            </w:pPr>
          </w:p>
        </w:tc>
      </w:tr>
      <w:tr w:rsidR="00153C75" w:rsidTr="00153C75">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tcBorders>
              <w:top w:val="nil"/>
              <w:bottom w:val="nil"/>
            </w:tcBorders>
            <w:vAlign w:val="center"/>
            <w:hideMark/>
          </w:tcPr>
          <w:p w:rsidR="00153C75" w:rsidRDefault="00153C75">
            <w:pPr>
              <w:spacing w:after="0" w:line="276" w:lineRule="auto"/>
              <w:ind w:right="-180"/>
              <w:jc w:val="center"/>
              <w:rPr>
                <w:b w:val="0"/>
                <w:color w:val="1D1B11" w:themeColor="background2" w:themeShade="1A"/>
                <w:sz w:val="20"/>
              </w:rPr>
            </w:pPr>
            <w:r>
              <w:rPr>
                <w:b w:val="0"/>
                <w:sz w:val="20"/>
              </w:rPr>
              <w:t>Keine</w:t>
            </w:r>
          </w:p>
        </w:tc>
        <w:tc>
          <w:tcPr>
            <w:tcW w:w="1677" w:type="dxa"/>
            <w:tcBorders>
              <w:top w:val="nil"/>
              <w:bottom w:val="nil"/>
            </w:tcBorders>
            <w:vAlign w:val="center"/>
          </w:tcPr>
          <w:p w:rsidR="00153C75" w:rsidRDefault="00153C75">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p>
        </w:tc>
        <w:tc>
          <w:tcPr>
            <w:tcW w:w="2551" w:type="dxa"/>
            <w:tcBorders>
              <w:top w:val="nil"/>
              <w:bottom w:val="nil"/>
            </w:tcBorders>
            <w:vAlign w:val="center"/>
          </w:tcPr>
          <w:p w:rsidR="00153C75" w:rsidRDefault="00153C75">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p>
        </w:tc>
        <w:tc>
          <w:tcPr>
            <w:tcW w:w="0" w:type="auto"/>
            <w:vMerge/>
            <w:tcBorders>
              <w:top w:val="nil"/>
              <w:bottom w:val="nil"/>
            </w:tcBorders>
            <w:vAlign w:val="center"/>
            <w:hideMark/>
          </w:tcPr>
          <w:p w:rsidR="00153C75" w:rsidRDefault="00153C75">
            <w:pPr>
              <w:spacing w:after="0" w:line="240" w:lineRule="auto"/>
              <w:jc w:val="left"/>
              <w:cnfStyle w:val="000000100000" w:firstRow="0" w:lastRow="0" w:firstColumn="0" w:lastColumn="0" w:oddVBand="0" w:evenVBand="0" w:oddHBand="1" w:evenHBand="0" w:firstRowFirstColumn="0" w:firstRowLastColumn="0" w:lastRowFirstColumn="0" w:lastRowLastColumn="0"/>
              <w:rPr>
                <w:b/>
                <w:bCs/>
                <w:noProof/>
                <w:color w:val="0000FF"/>
                <w:lang w:eastAsia="de-DE"/>
              </w:rPr>
            </w:pPr>
          </w:p>
        </w:tc>
      </w:tr>
      <w:tr w:rsidR="00153C75" w:rsidTr="00153C75">
        <w:tc>
          <w:tcPr>
            <w:cnfStyle w:val="001000000000" w:firstRow="0" w:lastRow="0" w:firstColumn="1" w:lastColumn="0" w:oddVBand="0" w:evenVBand="0" w:oddHBand="0" w:evenHBand="0" w:firstRowFirstColumn="0" w:firstRowLastColumn="0" w:lastRowFirstColumn="0" w:lastRowLastColumn="0"/>
            <w:tcW w:w="2259" w:type="dxa"/>
            <w:tcBorders>
              <w:top w:val="nil"/>
              <w:left w:val="nil"/>
              <w:bottom w:val="single" w:sz="8" w:space="0" w:color="4F81BD" w:themeColor="accent1"/>
              <w:right w:val="nil"/>
            </w:tcBorders>
            <w:vAlign w:val="center"/>
          </w:tcPr>
          <w:p w:rsidR="00153C75" w:rsidRDefault="00153C75">
            <w:pPr>
              <w:spacing w:after="0" w:line="276" w:lineRule="auto"/>
              <w:ind w:right="-180"/>
              <w:jc w:val="center"/>
              <w:rPr>
                <w:b w:val="0"/>
                <w:color w:val="auto"/>
                <w:sz w:val="20"/>
                <w:szCs w:val="20"/>
              </w:rPr>
            </w:pPr>
          </w:p>
        </w:tc>
        <w:tc>
          <w:tcPr>
            <w:tcW w:w="1677" w:type="dxa"/>
            <w:tcBorders>
              <w:top w:val="nil"/>
              <w:left w:val="nil"/>
              <w:bottom w:val="single" w:sz="8" w:space="0" w:color="4F81BD" w:themeColor="accent1"/>
              <w:right w:val="nil"/>
            </w:tcBorders>
            <w:vAlign w:val="center"/>
          </w:tcPr>
          <w:p w:rsidR="00153C75" w:rsidRDefault="00153C75">
            <w:pPr>
              <w:spacing w:after="0"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551" w:type="dxa"/>
            <w:tcBorders>
              <w:top w:val="nil"/>
              <w:left w:val="nil"/>
              <w:bottom w:val="single" w:sz="8" w:space="0" w:color="4F81BD" w:themeColor="accent1"/>
              <w:right w:val="nil"/>
            </w:tcBorders>
            <w:vAlign w:val="center"/>
          </w:tcPr>
          <w:p w:rsidR="00153C75" w:rsidRDefault="00153C75">
            <w:pPr>
              <w:spacing w:after="0"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0" w:type="auto"/>
            <w:vMerge/>
            <w:tcBorders>
              <w:top w:val="nil"/>
              <w:left w:val="nil"/>
              <w:bottom w:val="nil"/>
              <w:right w:val="nil"/>
            </w:tcBorders>
            <w:vAlign w:val="center"/>
            <w:hideMark/>
          </w:tcPr>
          <w:p w:rsidR="00153C75" w:rsidRDefault="00153C75">
            <w:pPr>
              <w:spacing w:after="0" w:line="240" w:lineRule="auto"/>
              <w:jc w:val="left"/>
              <w:cnfStyle w:val="000000000000" w:firstRow="0" w:lastRow="0" w:firstColumn="0" w:lastColumn="0" w:oddVBand="0" w:evenVBand="0" w:oddHBand="0" w:evenHBand="0" w:firstRowFirstColumn="0" w:firstRowLastColumn="0" w:lastRowFirstColumn="0" w:lastRowLastColumn="0"/>
              <w:rPr>
                <w:b/>
                <w:bCs/>
                <w:noProof/>
                <w:color w:val="0000FF"/>
                <w:lang w:eastAsia="de-DE"/>
              </w:rPr>
            </w:pPr>
          </w:p>
        </w:tc>
      </w:tr>
    </w:tbl>
    <w:p w:rsidR="00153C75" w:rsidRDefault="00153C75" w:rsidP="00153C75">
      <w:pPr>
        <w:tabs>
          <w:tab w:val="left" w:pos="1701"/>
          <w:tab w:val="left" w:pos="1985"/>
        </w:tabs>
        <w:ind w:left="1980" w:hanging="1980"/>
        <w:rPr>
          <w:rFonts w:cstheme="minorBidi"/>
          <w:color w:val="1D1B11" w:themeColor="background2" w:themeShade="1A"/>
        </w:rPr>
      </w:pPr>
    </w:p>
    <w:p w:rsidR="00153C75" w:rsidRDefault="00153C75" w:rsidP="00153C75">
      <w:pPr>
        <w:tabs>
          <w:tab w:val="left" w:pos="1701"/>
          <w:tab w:val="left" w:pos="1985"/>
        </w:tabs>
        <w:ind w:left="1980" w:hanging="1980"/>
      </w:pPr>
      <w:r>
        <w:t xml:space="preserve">Materialien: </w:t>
      </w:r>
      <w:r>
        <w:tab/>
      </w:r>
      <w:r>
        <w:tab/>
        <w:t>3 Teelichter, 3 Bechergläser (250ml, 500ml, 1L), Zündquelle</w:t>
      </w:r>
    </w:p>
    <w:p w:rsidR="00153C75" w:rsidRDefault="00153C75" w:rsidP="00153C75">
      <w:pPr>
        <w:tabs>
          <w:tab w:val="left" w:pos="1701"/>
          <w:tab w:val="left" w:pos="1985"/>
        </w:tabs>
        <w:ind w:left="1980" w:hanging="1980"/>
      </w:pPr>
      <w:r>
        <w:t>Chemikalien:</w:t>
      </w:r>
      <w:r>
        <w:tab/>
      </w:r>
      <w:r>
        <w:tab/>
        <w:t>Keine</w:t>
      </w:r>
    </w:p>
    <w:p w:rsidR="00153C75" w:rsidRDefault="00153C75" w:rsidP="00153C75">
      <w:pPr>
        <w:tabs>
          <w:tab w:val="left" w:pos="1701"/>
          <w:tab w:val="left" w:pos="1985"/>
        </w:tabs>
        <w:ind w:left="1980" w:hanging="1980"/>
      </w:pPr>
      <w:r>
        <w:t xml:space="preserve">Durchführung: </w:t>
      </w:r>
      <w:r>
        <w:tab/>
      </w:r>
      <w:r>
        <w:tab/>
        <w:t>Die drei Kerzen werden nacheinander entzündet und gewartet bis sie ric</w:t>
      </w:r>
      <w:r>
        <w:t>h</w:t>
      </w:r>
      <w:r>
        <w:t>tig aufflammen. Danach werden schnell die drei Bechergläser über jeweils eine der Kerzen gestülpt.Die Zeit wird gestoppt bis die Kerzen ausgehen.</w:t>
      </w:r>
    </w:p>
    <w:p w:rsidR="00153C75" w:rsidRDefault="00153C75" w:rsidP="00153C75">
      <w:pPr>
        <w:tabs>
          <w:tab w:val="left" w:pos="1701"/>
          <w:tab w:val="left" w:pos="1985"/>
        </w:tabs>
        <w:ind w:left="1980" w:hanging="1980"/>
      </w:pPr>
      <w:r>
        <w:t>Beobachtung:</w:t>
      </w:r>
      <w:r>
        <w:tab/>
      </w:r>
      <w:r>
        <w:tab/>
      </w:r>
      <w:r>
        <w:tab/>
        <w:t>Im kleinsten Becherglas geht die Kerze zuerst aus - nach etwa 8 s. Danach folgt die Kerze in dem mittleren Becherglas mit etwa 20 s und zum Schluss erlischt die Kerze in dem großen Becherglas nach etwa 35 s.</w:t>
      </w:r>
    </w:p>
    <w:p w:rsidR="00153C75" w:rsidRDefault="00153C75" w:rsidP="00153C75">
      <w:pPr>
        <w:keepNext/>
        <w:tabs>
          <w:tab w:val="left" w:pos="1701"/>
          <w:tab w:val="left" w:pos="1985"/>
        </w:tabs>
        <w:ind w:left="1980" w:hanging="1980"/>
        <w:jc w:val="center"/>
      </w:pPr>
      <w:r>
        <w:rPr>
          <w:noProof/>
          <w:lang w:eastAsia="de-DE"/>
        </w:rPr>
        <w:lastRenderedPageBreak/>
        <w:drawing>
          <wp:inline distT="0" distB="0" distL="0" distR="0">
            <wp:extent cx="4114800" cy="3088005"/>
            <wp:effectExtent l="0" t="0" r="0" b="0"/>
            <wp:docPr id="18" name="Grafik 18" descr="P1020354.JPG"/>
            <wp:cNvGraphicFramePr/>
            <a:graphic xmlns:a="http://schemas.openxmlformats.org/drawingml/2006/main">
              <a:graphicData uri="http://schemas.openxmlformats.org/drawingml/2006/picture">
                <pic:pic xmlns:pic="http://schemas.openxmlformats.org/drawingml/2006/picture">
                  <pic:nvPicPr>
                    <pic:cNvPr id="11" name="Grafik 10" descr="P1020354.JPG"/>
                    <pic:cNvPicPr/>
                  </pic:nvPicPr>
                  <pic:blipFill>
                    <a:blip r:embed="rId9"/>
                    <a:stretch>
                      <a:fillRect/>
                    </a:stretch>
                  </pic:blipFill>
                  <pic:spPr>
                    <a:xfrm>
                      <a:off x="0" y="0"/>
                      <a:ext cx="4116070" cy="3087370"/>
                    </a:xfrm>
                    <a:prstGeom prst="rect">
                      <a:avLst/>
                    </a:prstGeom>
                    <a:ln>
                      <a:noFill/>
                    </a:ln>
                    <a:effectLst>
                      <a:softEdge rad="112500"/>
                    </a:effectLst>
                  </pic:spPr>
                </pic:pic>
              </a:graphicData>
            </a:graphic>
          </wp:inline>
        </w:drawing>
      </w:r>
    </w:p>
    <w:p w:rsidR="00153C75" w:rsidRDefault="00153C75" w:rsidP="00153C75">
      <w:pPr>
        <w:pStyle w:val="Beschriftung"/>
        <w:jc w:val="left"/>
      </w:pPr>
      <w:r>
        <w:t>Abb. 5:</w:t>
      </w:r>
      <w:r>
        <w:rPr>
          <w:noProof/>
        </w:rPr>
        <w:t>Drei Teelichter unter unterschiedlich großen Bechergläsern</w:t>
      </w:r>
    </w:p>
    <w:p w:rsidR="00153C75" w:rsidRDefault="00153C75" w:rsidP="00153C75">
      <w:pPr>
        <w:tabs>
          <w:tab w:val="left" w:pos="1701"/>
          <w:tab w:val="left" w:pos="1985"/>
        </w:tabs>
        <w:ind w:left="1980" w:hanging="1980"/>
        <w:rPr>
          <w:rFonts w:eastAsiaTheme="minorEastAsia"/>
        </w:rPr>
      </w:pPr>
      <w:r>
        <w:t>Deutung:</w:t>
      </w:r>
      <w:r>
        <w:tab/>
      </w:r>
      <w:r>
        <w:tab/>
      </w:r>
      <w:r>
        <w:tab/>
        <w:t xml:space="preserve">Die Kerzen brauchen Sauerstoff für die Verbrennung, ist der Sauerstoff zu etwa </w:t>
      </w:r>
      <m:oMath>
        <m:f>
          <m:fPr>
            <m:ctrlPr>
              <w:rPr>
                <w:rFonts w:ascii="Cambria Math" w:hAnsi="Cambria Math"/>
                <w:i/>
                <w:color w:val="1D1B11" w:themeColor="background2" w:themeShade="1A"/>
              </w:rPr>
            </m:ctrlPr>
          </m:fPr>
          <m:num>
            <m:r>
              <w:rPr>
                <w:rFonts w:ascii="Cambria Math" w:hAnsi="Cambria Math"/>
              </w:rPr>
              <m:t>1</m:t>
            </m:r>
          </m:num>
          <m:den>
            <m:r>
              <w:rPr>
                <w:rFonts w:ascii="Cambria Math" w:hAnsi="Cambria Math"/>
              </w:rPr>
              <m:t>4</m:t>
            </m:r>
          </m:den>
        </m:f>
      </m:oMath>
      <w:r>
        <w:t xml:space="preserve"> aufgebraucht erlischt das Feuer.</w:t>
      </w:r>
    </w:p>
    <w:p w:rsidR="00153C75" w:rsidRDefault="00153C75" w:rsidP="00153C75">
      <w:pPr>
        <w:tabs>
          <w:tab w:val="left" w:pos="1701"/>
          <w:tab w:val="left" w:pos="1985"/>
        </w:tabs>
        <w:ind w:left="1980" w:hanging="1980"/>
        <w:rPr>
          <w:rFonts w:eastAsiaTheme="minorHAnsi"/>
        </w:rPr>
      </w:pPr>
      <w:r>
        <w:t>Literatur:</w:t>
      </w:r>
      <w:r>
        <w:tab/>
      </w:r>
      <w:r>
        <w:tab/>
        <w:t>Schmidkunz, H. (2011). Chemische Freihandversuche Band 1. Aulis Verlag.</w:t>
      </w:r>
    </w:p>
    <w:p w:rsidR="00153C75" w:rsidRDefault="00153C75" w:rsidP="00153C75">
      <w:pPr>
        <w:tabs>
          <w:tab w:val="left" w:pos="1701"/>
          <w:tab w:val="left" w:pos="1985"/>
        </w:tabs>
        <w:ind w:left="1980" w:hanging="1980"/>
      </w:pPr>
    </w:p>
    <w:p w:rsidR="00153C75" w:rsidRDefault="00153C75" w:rsidP="00153C75">
      <w:pPr>
        <w:tabs>
          <w:tab w:val="left" w:pos="1701"/>
          <w:tab w:val="left" w:pos="1985"/>
        </w:tabs>
        <w:ind w:left="1980" w:hanging="1980"/>
      </w:pPr>
      <w:r>
        <w:rPr>
          <w:noProof/>
          <w:lang w:eastAsia="de-DE"/>
        </w:rPr>
        <mc:AlternateContent>
          <mc:Choice Requires="wps">
            <w:drawing>
              <wp:inline distT="0" distB="0" distL="0" distR="0" wp14:anchorId="66884623" wp14:editId="14F79C36">
                <wp:extent cx="5873115" cy="3516630"/>
                <wp:effectExtent l="9525" t="9525" r="13335" b="7620"/>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351663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53C75" w:rsidRDefault="00153C75" w:rsidP="00153C75">
                            <w:pPr>
                              <w:rPr>
                                <w:color w:val="auto"/>
                              </w:rPr>
                            </w:pPr>
                            <w:r>
                              <w:rPr>
                                <w:b/>
                                <w:color w:val="auto"/>
                              </w:rPr>
                              <w:t xml:space="preserve">Anmerkung: </w:t>
                            </w:r>
                            <w:r>
                              <w:rPr>
                                <w:color w:val="auto"/>
                              </w:rPr>
                              <w:t>Bei diesem Versuch muss ebenfalls die Deutung didaktisch reduziert werden. Hier bietet sich wie oben an, davon zu sprechen, dass die Kerzen "atmen" müssen. Wenn sie ausgehen ist nicht mehr genug Sauerstoff zum "atmen" vorhanden. Im Versuch oben haben sie gelernt, dass Glut in einem mit Stickstoff gefüllten Glas erlischt. Somit können sie hier deuten, dass mehr Stickstoff als Sauerstoff vorhanden sein muss und können so das Gelernte bereits anwenden.</w:t>
                            </w:r>
                          </w:p>
                          <w:p w:rsidR="00153C75" w:rsidRDefault="00153C75" w:rsidP="00153C75">
                            <w:pPr>
                              <w:rPr>
                                <w:color w:val="auto"/>
                              </w:rPr>
                            </w:pPr>
                            <w:r>
                              <w:rPr>
                                <w:b/>
                                <w:color w:val="auto"/>
                              </w:rPr>
                              <w:t>Anmerkung 2:</w:t>
                            </w:r>
                            <w:r>
                              <w:rPr>
                                <w:color w:val="auto"/>
                              </w:rPr>
                              <w:t>Bei der Benutzung des Animismus' "atmen" muss man sich bewusst sein, dass das kein korrekter Ausdruck ist. Für eine fünfte Klasse ist diese Anwendung aber noch vertre</w:t>
                            </w:r>
                            <w:r>
                              <w:rPr>
                                <w:color w:val="auto"/>
                              </w:rPr>
                              <w:t>t</w:t>
                            </w:r>
                            <w:r>
                              <w:rPr>
                                <w:color w:val="auto"/>
                              </w:rPr>
                              <w:t>bar, auch in dem Vergleich mit Menschen, die ebenfalls Sauerstoff brauchen um atmen zu kö</w:t>
                            </w:r>
                            <w:r>
                              <w:rPr>
                                <w:color w:val="auto"/>
                              </w:rPr>
                              <w:t>n</w:t>
                            </w:r>
                            <w:r>
                              <w:rPr>
                                <w:color w:val="auto"/>
                              </w:rPr>
                              <w:t>nen. Man muss sich aber bewusst machen, dass die SuS den Begriff der Verbrennung so bald wie möglich kennen lernen sollten, um die Festigung von Fehlvorstellungen zu vermeiden.</w:t>
                            </w:r>
                          </w:p>
                          <w:p w:rsidR="00153C75" w:rsidRDefault="00153C75" w:rsidP="00153C75">
                            <w:pPr>
                              <w:rPr>
                                <w:color w:val="auto"/>
                              </w:rPr>
                            </w:pPr>
                            <w:r>
                              <w:rPr>
                                <w:b/>
                                <w:color w:val="auto"/>
                              </w:rPr>
                              <w:t>Unterrichtseinbettung</w:t>
                            </w:r>
                            <w:r>
                              <w:rPr>
                                <w:color w:val="auto"/>
                              </w:rPr>
                              <w:t>: Dieser Versuch kann auch für das Thema Brennbarkeit verwendet werden.</w:t>
                            </w:r>
                          </w:p>
                          <w:p w:rsidR="00153C75" w:rsidRDefault="00153C75" w:rsidP="00153C75">
                            <w:pPr>
                              <w:rPr>
                                <w:color w:val="auto"/>
                              </w:rPr>
                            </w:pPr>
                          </w:p>
                        </w:txbxContent>
                      </wps:txbx>
                      <wps:bodyPr rot="0" vert="horz" wrap="square" lIns="91440" tIns="45720" rIns="91440" bIns="45720" anchor="t" anchorCtr="0" upright="1">
                        <a:noAutofit/>
                      </wps:bodyPr>
                    </wps:wsp>
                  </a:graphicData>
                </a:graphic>
              </wp:inline>
            </w:drawing>
          </mc:Choice>
          <mc:Fallback>
            <w:pict>
              <v:shape id="Textfeld 20" o:spid="_x0000_s1027" type="#_x0000_t202" style="width:462.45pt;height:27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" fillcolor="white [3201]" strokecolor="#c0504d [3205]" strokeweight="1pt">
                <v:stroke dashstyle="dash"/>
                <v:shadow color="#868686"/>
                <v:textbox>
                  <w:txbxContent>
                    <w:p w:rsidR="00153C75" w:rsidRDefault="00153C75" w:rsidP="00153C75">
                      <w:pPr>
                        <w:rPr>
                          <w:color w:val="auto"/>
                        </w:rPr>
                      </w:pPr>
                      <w:r>
                        <w:rPr>
                          <w:b/>
                          <w:color w:val="auto"/>
                        </w:rPr>
                        <w:t xml:space="preserve">Anmerkung: </w:t>
                      </w:r>
                      <w:r>
                        <w:rPr>
                          <w:color w:val="auto"/>
                        </w:rPr>
                        <w:t>Bei diesem Versuch muss ebenfalls die Deutung didaktisch reduziert werden. Hier bietet sich wie oben an, davon zu sprechen, dass die Kerzen "atmen" müssen. Wenn sie ausgehen ist nicht mehr genug Sauerstoff zum "atmen" vorhanden. Im Versuch oben haben sie gelernt, dass Glut in einem mit Stickstoff gefüllten Glas erlischt. Somit können sie hier deuten, dass mehr Stickstoff als Sauerstoff vorhanden sein muss und können so das Gelernte bereits anwenden.</w:t>
                      </w:r>
                    </w:p>
                    <w:p w:rsidR="00153C75" w:rsidRDefault="00153C75" w:rsidP="00153C75">
                      <w:pPr>
                        <w:rPr>
                          <w:color w:val="auto"/>
                        </w:rPr>
                      </w:pPr>
                      <w:r>
                        <w:rPr>
                          <w:b/>
                          <w:color w:val="auto"/>
                        </w:rPr>
                        <w:t>Anmerkung 2:</w:t>
                      </w:r>
                      <w:r>
                        <w:rPr>
                          <w:color w:val="auto"/>
                        </w:rPr>
                        <w:t>Bei der Benutzung des Animismus' "atmen" muss man sich bewusst sein, dass das kein korrekter Ausdruck ist. Für eine fünfte Klasse ist diese Anwendung aber noch vertre</w:t>
                      </w:r>
                      <w:r>
                        <w:rPr>
                          <w:color w:val="auto"/>
                        </w:rPr>
                        <w:t>t</w:t>
                      </w:r>
                      <w:r>
                        <w:rPr>
                          <w:color w:val="auto"/>
                        </w:rPr>
                        <w:t>bar, auch in dem Vergleich mit Menschen, die ebenfalls Sauerstoff brauchen um atmen zu kö</w:t>
                      </w:r>
                      <w:r>
                        <w:rPr>
                          <w:color w:val="auto"/>
                        </w:rPr>
                        <w:t>n</w:t>
                      </w:r>
                      <w:r>
                        <w:rPr>
                          <w:color w:val="auto"/>
                        </w:rPr>
                        <w:t>nen. Man muss sich aber bewusst machen, dass die SuS den Begriff der Verbrennung so bald wie möglich kennen lernen sollten, um die Festigung von Fehlvorstellungen zu vermeiden.</w:t>
                      </w:r>
                    </w:p>
                    <w:p w:rsidR="00153C75" w:rsidRDefault="00153C75" w:rsidP="00153C75">
                      <w:pPr>
                        <w:rPr>
                          <w:color w:val="auto"/>
                        </w:rPr>
                      </w:pPr>
                      <w:r>
                        <w:rPr>
                          <w:b/>
                          <w:color w:val="auto"/>
                        </w:rPr>
                        <w:t>Unterrichtseinbettung</w:t>
                      </w:r>
                      <w:r>
                        <w:rPr>
                          <w:color w:val="auto"/>
                        </w:rPr>
                        <w:t>: Dieser Versuch kann auch für das Thema Brennbarkeit verwendet werden.</w:t>
                      </w:r>
                    </w:p>
                    <w:p w:rsidR="00153C75" w:rsidRDefault="00153C75" w:rsidP="00153C75">
                      <w:pPr>
                        <w:rPr>
                          <w:color w:val="auto"/>
                        </w:rPr>
                      </w:pPr>
                    </w:p>
                  </w:txbxContent>
                </v:textbox>
                <w10:anchorlock/>
              </v:shape>
            </w:pict>
          </mc:Fallback>
        </mc:AlternateContent>
      </w:r>
    </w:p>
    <w:p w:rsidR="00BE6DD9" w:rsidRPr="00153C75" w:rsidRDefault="00BE6DD9" w:rsidP="00153C75"/>
    <w:sectPr w:rsidR="00BE6DD9" w:rsidRPr="00153C75" w:rsidSect="00105256">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A4D" w:rsidRDefault="008A5A4D" w:rsidP="009524CC">
      <w:pPr>
        <w:spacing w:after="0"/>
      </w:pPr>
      <w:r>
        <w:separator/>
      </w:r>
    </w:p>
  </w:endnote>
  <w:endnote w:type="continuationSeparator" w:id="0">
    <w:p w:rsidR="008A5A4D" w:rsidRDefault="008A5A4D"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A4D" w:rsidRDefault="008A5A4D" w:rsidP="009524CC">
      <w:pPr>
        <w:spacing w:after="0"/>
      </w:pPr>
      <w:r>
        <w:separator/>
      </w:r>
    </w:p>
  </w:footnote>
  <w:footnote w:type="continuationSeparator" w:id="0">
    <w:p w:rsidR="008A5A4D" w:rsidRDefault="008A5A4D"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FD2E1F" w:rsidRPr="00FD2E1F">
            <w:rPr>
              <w:b/>
              <w:bCs/>
              <w:noProof/>
              <w:sz w:val="20"/>
              <w:szCs w:val="20"/>
            </w:rPr>
            <w:t>V 5 – Die Kerze muss "atmen"</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FD2E1F">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3C75"/>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3C38"/>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864"/>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5A4D"/>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57A0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5D7A"/>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8FC"/>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851"/>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2E1F"/>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812603">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883374847">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873104294">
      <w:bodyDiv w:val="1"/>
      <w:marLeft w:val="0"/>
      <w:marRight w:val="0"/>
      <w:marTop w:val="0"/>
      <w:marBottom w:val="0"/>
      <w:divBdr>
        <w:top w:val="none" w:sz="0" w:space="0" w:color="auto"/>
        <w:left w:val="none" w:sz="0" w:space="0" w:color="auto"/>
        <w:bottom w:val="none" w:sz="0" w:space="0" w:color="auto"/>
        <w:right w:val="none" w:sz="0" w:space="0" w:color="auto"/>
      </w:divBdr>
    </w:div>
    <w:div w:id="211605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AB8E6-AA0E-4F4C-B3A0-A1B12D429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123</Words>
  <Characters>777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3</cp:revision>
  <cp:lastPrinted>2012-06-21T19:47:00Z</cp:lastPrinted>
  <dcterms:created xsi:type="dcterms:W3CDTF">2013-07-03T09:06:00Z</dcterms:created>
  <dcterms:modified xsi:type="dcterms:W3CDTF">2013-07-03T09:09:00Z</dcterms:modified>
</cp:coreProperties>
</file>