
<file path=[Content_Types].xml><?xml version="1.0" encoding="utf-8"?>
<Types xmlns="http://schemas.openxmlformats.org/package/2006/content-types">
  <Default Extension="bin" ContentType="application/vnd.openxmlformats-officedocument.oleObject"/>
  <Default Extension="png" ContentType="image/png"/>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F3C" w:rsidRDefault="00B56F3C" w:rsidP="00B56F3C">
      <w:pPr>
        <w:pStyle w:val="berschrift1"/>
        <w:numPr>
          <w:ilvl w:val="0"/>
          <w:numId w:val="0"/>
        </w:numPr>
        <w:ind w:left="431" w:hanging="431"/>
      </w:pPr>
      <w:r>
        <w:t>V 5 – Erhitzen und Abkühlen von Stearinsäure</w:t>
      </w:r>
    </w:p>
    <w:p w:rsidR="00B56F3C" w:rsidRDefault="00B56F3C" w:rsidP="00B56F3C">
      <w:pPr>
        <w:tabs>
          <w:tab w:val="left" w:pos="1701"/>
          <w:tab w:val="left" w:pos="1985"/>
        </w:tabs>
        <w:ind w:left="1980" w:hanging="1980"/>
      </w:pPr>
      <w:r>
        <w:t xml:space="preserve">Materialien: </w:t>
      </w:r>
      <w:r>
        <w:tab/>
      </w:r>
      <w:r>
        <w:tab/>
        <w:t>Digitales Schülerthermometer, 100 ml Becherglas, Heizplatte mit Magne</w:t>
      </w:r>
      <w:r>
        <w:t>t</w:t>
      </w:r>
      <w:r>
        <w:t>rührer, Stativ, kurzes Reagenzglas. Draht-Mischer (siehe Durchfü</w:t>
      </w:r>
      <w:r>
        <w:t>h</w:t>
      </w:r>
      <w:r>
        <w:t xml:space="preserve">rung) </w:t>
      </w:r>
    </w:p>
    <w:p w:rsidR="00B56F3C" w:rsidRPr="00ED07C2" w:rsidRDefault="00B56F3C" w:rsidP="00B56F3C">
      <w:pPr>
        <w:tabs>
          <w:tab w:val="left" w:pos="1701"/>
          <w:tab w:val="left" w:pos="1985"/>
        </w:tabs>
        <w:ind w:left="1980" w:hanging="1980"/>
      </w:pPr>
      <w:r>
        <w:t>Chemikalien:</w:t>
      </w:r>
      <w:r>
        <w:tab/>
      </w:r>
      <w:r>
        <w:tab/>
        <w:t>Wasser, Stearinsäure</w:t>
      </w:r>
    </w:p>
    <w:p w:rsidR="00B56F3C" w:rsidRDefault="00B56F3C" w:rsidP="00B56F3C">
      <w:pPr>
        <w:tabs>
          <w:tab w:val="left" w:pos="1701"/>
          <w:tab w:val="left" w:pos="1985"/>
        </w:tabs>
        <w:ind w:left="1980" w:hanging="1980"/>
      </w:pPr>
      <w:r>
        <w:t xml:space="preserve">Durchführung: </w:t>
      </w:r>
      <w:r>
        <w:tab/>
      </w:r>
      <w:r>
        <w:tab/>
        <w:t xml:space="preserve">Wasser wird im Becherglas unter Rühren auf einem Heizrührer gekocht. Das Reagenzglas wird etwa 3 cm hoch mit Stearinsäure befüllt und mit einer Stativklemme am Stativ befestigt. Zur Herstellung des Drahtmischers wird </w:t>
      </w:r>
      <w:proofErr w:type="spellStart"/>
      <w:r>
        <w:t>z.B</w:t>
      </w:r>
      <w:proofErr w:type="spellEnd"/>
      <w:r>
        <w:t>. Eisendraht (</w:t>
      </w:r>
      <w:r>
        <w:sym w:font="Symbol" w:char="F0C6"/>
      </w:r>
      <w:r>
        <w:t>1 mm) in eine Spirale von 1.5 cm Länge um einen Bleistift aufgewickelt und dann ca. 10 cm über der Spirale abgeschnitten. Der Temperaturfühler des Therm</w:t>
      </w:r>
      <w:r>
        <w:t>o</w:t>
      </w:r>
      <w:r>
        <w:t>meters wird durch die Spirale des Draht-Mischers geführt und beide zusammen im Reagenzglas in die Ste</w:t>
      </w:r>
      <w:r>
        <w:t>a</w:t>
      </w:r>
      <w:r>
        <w:t>rinsäure gesteckt.  Das am Stativ befestigte Reagenzglas mit Steari</w:t>
      </w:r>
      <w:r>
        <w:t>n</w:t>
      </w:r>
      <w:r>
        <w:t>säure wird im Wasserbad erhitzt. Mit Hilfe des Draht-Mischers wird die Steari</w:t>
      </w:r>
      <w:r>
        <w:t>n</w:t>
      </w:r>
      <w:r>
        <w:t>säure ab und zu durchmischt bis diese flü</w:t>
      </w:r>
      <w:r>
        <w:t>s</w:t>
      </w:r>
      <w:r>
        <w:t xml:space="preserve">sig ist und eine Temperatur von 90 </w:t>
      </w:r>
      <w:r>
        <w:sym w:font="Symbol" w:char="F0B0"/>
      </w:r>
      <w:r>
        <w:t>C angezeigt wird.  Danach wird das Reagen</w:t>
      </w:r>
      <w:r>
        <w:t>z</w:t>
      </w:r>
      <w:r>
        <w:t>glas mit der Stativklemme am Stativ nach oben gesch</w:t>
      </w:r>
      <w:r>
        <w:t>o</w:t>
      </w:r>
      <w:r>
        <w:t>ben, so dass es frei in der Luft hängt. Ab diesem Zeitpunkt wird die Steari</w:t>
      </w:r>
      <w:r>
        <w:t>n</w:t>
      </w:r>
      <w:r>
        <w:t>säure ständig mit Hilfe des Drahtmischers durchmischt und in Abständen von 30 Sekunden wird die Temper</w:t>
      </w:r>
      <w:r>
        <w:t>a</w:t>
      </w:r>
      <w:r>
        <w:t>tur der Stearinsäure in eine Tabelle eingetragen.</w:t>
      </w:r>
    </w:p>
    <w:p w:rsidR="00B56F3C" w:rsidRDefault="00B56F3C" w:rsidP="00B56F3C">
      <w:pPr>
        <w:tabs>
          <w:tab w:val="left" w:pos="1701"/>
          <w:tab w:val="left" w:pos="1985"/>
        </w:tabs>
        <w:ind w:left="1980" w:hanging="1980"/>
      </w:pPr>
      <w:r>
        <w:t>Beobachtung:</w:t>
      </w:r>
      <w:r>
        <w:tab/>
      </w:r>
      <w:r>
        <w:tab/>
        <w:t xml:space="preserve">Die Stearinsäure kühlt sich innerhalb von 2.5 Minuten bis auf 68.5 </w:t>
      </w:r>
      <w:r>
        <w:sym w:font="Symbol" w:char="F0B0"/>
      </w:r>
      <w:r>
        <w:t>C. Ab diesem Zeitpunkt wird die Stearinsäure allmählich fester und die Temp</w:t>
      </w:r>
      <w:r>
        <w:t>e</w:t>
      </w:r>
      <w:r>
        <w:t xml:space="preserve">ratur sinkt innerhalb von 6 Minuten lediglich auf 65.5 </w:t>
      </w:r>
      <w:r>
        <w:sym w:font="Symbol" w:char="F0B0"/>
      </w:r>
      <w:r>
        <w:t>C ab. Nach dem E</w:t>
      </w:r>
      <w:r>
        <w:t>r</w:t>
      </w:r>
      <w:r>
        <w:t xml:space="preserve">starren sinkt die Temperatur in 3 Minuten bis auf  47 </w:t>
      </w:r>
      <w:r>
        <w:sym w:font="Symbol" w:char="F0B0"/>
      </w:r>
      <w:r>
        <w:t xml:space="preserve">C. </w:t>
      </w:r>
    </w:p>
    <w:p w:rsidR="00B56F3C" w:rsidRDefault="00B56F3C" w:rsidP="00B56F3C">
      <w:pPr>
        <w:tabs>
          <w:tab w:val="left" w:pos="1701"/>
          <w:tab w:val="left" w:pos="1985"/>
        </w:tabs>
        <w:ind w:left="1980" w:hanging="1980"/>
        <w:jc w:val="left"/>
      </w:pPr>
      <w:r>
        <w:rPr>
          <w:szCs w:val="20"/>
          <w:lang w:val="de-DE"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71.5pt;margin-top:0;width:216.15pt;height:243pt;z-index:251660288">
            <v:imagedata r:id="rId9" r:pict="rId10" o:title=""/>
          </v:shape>
          <o:OLEObject Type="Embed" ProgID="Word.Picture.8" ShapeID="_x0000_s1036" DrawAspect="Content" ObjectID="_1434280845" r:id="rId11"/>
        </w:pict>
      </w:r>
      <w:r>
        <w:rPr>
          <w:noProof/>
          <w:szCs w:val="20"/>
          <w:lang w:eastAsia="de-DE"/>
        </w:rPr>
        <w:drawing>
          <wp:anchor distT="0" distB="0" distL="114300" distR="114300" simplePos="0" relativeHeight="251659264" behindDoc="0" locked="0" layoutInCell="1" allowOverlap="1">
            <wp:simplePos x="0" y="0"/>
            <wp:positionH relativeFrom="column">
              <wp:posOffset>3282950</wp:posOffset>
            </wp:positionH>
            <wp:positionV relativeFrom="paragraph">
              <wp:posOffset>571500</wp:posOffset>
            </wp:positionV>
            <wp:extent cx="2650490" cy="1921510"/>
            <wp:effectExtent l="0" t="0" r="0" b="2540"/>
            <wp:wrapNone/>
            <wp:docPr id="17" name="Grafik 17" descr="Erstarrungstemp_Stearinsä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starrungstemp_Stearinsä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49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extent cx="2156460" cy="2880995"/>
            <wp:effectExtent l="0" t="0" r="0" b="0"/>
            <wp:docPr id="15" name="Grafik 15" descr="Stearinsä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arinsäur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2880995"/>
                    </a:xfrm>
                    <a:prstGeom prst="rect">
                      <a:avLst/>
                    </a:prstGeom>
                    <a:noFill/>
                    <a:ln>
                      <a:noFill/>
                    </a:ln>
                  </pic:spPr>
                </pic:pic>
              </a:graphicData>
            </a:graphic>
          </wp:inline>
        </w:drawing>
      </w:r>
      <w:r>
        <w:t xml:space="preserve"> </w:t>
      </w:r>
    </w:p>
    <w:p w:rsidR="00B56F3C" w:rsidRDefault="00B56F3C" w:rsidP="00B56F3C">
      <w:pPr>
        <w:pStyle w:val="Beschriftung"/>
        <w:jc w:val="left"/>
      </w:pPr>
      <w:r>
        <w:t xml:space="preserve">Abb. </w:t>
      </w:r>
      <w:r>
        <w:fldChar w:fldCharType="begin"/>
      </w:r>
      <w:r>
        <w:instrText xml:space="preserve"> SEQ Abb. \* ARABIC </w:instrText>
      </w:r>
      <w:r>
        <w:fldChar w:fldCharType="separate"/>
      </w:r>
      <w:r>
        <w:rPr>
          <w:noProof/>
        </w:rPr>
        <w:t>5</w:t>
      </w:r>
      <w:r>
        <w:rPr>
          <w:noProof/>
        </w:rPr>
        <w:fldChar w:fldCharType="end"/>
      </w:r>
      <w:r>
        <w:t xml:space="preserve"> - </w:t>
      </w:r>
      <w:r>
        <w:rPr>
          <w:noProof/>
        </w:rPr>
        <w:t xml:space="preserve"> Versuchsaufbau und Temperaturverlauf beim Abkühlen der Stearinsäure</w:t>
      </w:r>
    </w:p>
    <w:p w:rsidR="00B56F3C" w:rsidRDefault="00B56F3C" w:rsidP="00B56F3C">
      <w:pPr>
        <w:tabs>
          <w:tab w:val="left" w:pos="1701"/>
          <w:tab w:val="left" w:pos="1985"/>
        </w:tabs>
        <w:ind w:left="1980" w:hanging="1980"/>
      </w:pPr>
      <w:r>
        <w:t>Deutung:</w:t>
      </w:r>
      <w:r>
        <w:tab/>
      </w:r>
      <w:r>
        <w:tab/>
      </w:r>
      <w:r>
        <w:tab/>
        <w:t>Durch Erhitzen wird die Stearinsäure geschmolzen. Die Temperatur fällt zunächst stark ab, beim Erstarren der Stearinsäure bleibt die Temperatur aber konstant. Wärmeenergie ist in der Bewegung von Teilchen enthalten. Die Anteile der Stearinsäure die erstarren geben Ihre Wärme an die Umg</w:t>
      </w:r>
      <w:r>
        <w:t>e</w:t>
      </w:r>
      <w:r>
        <w:t xml:space="preserve">bung ab, so dass die Temperatur während des Erstarrens konstant bleibt. </w:t>
      </w:r>
      <w:r>
        <w:rPr>
          <w:b/>
        </w:rPr>
        <w:t xml:space="preserve">Achtung: </w:t>
      </w:r>
      <w:r>
        <w:t>Diese Erklärung ist eine Reduktion, aber die fachliche korrekte Erklärung würde die Einführung des Teilchenmodells und der Gitterene</w:t>
      </w:r>
      <w:r>
        <w:t>r</w:t>
      </w:r>
      <w:r>
        <w:t xml:space="preserve">gie bedürfen.   </w:t>
      </w:r>
    </w:p>
    <w:p w:rsidR="006F6F33" w:rsidRPr="00B56F3C" w:rsidRDefault="00B56F3C" w:rsidP="00B56F3C">
      <w:pPr>
        <w:ind w:left="1980" w:hanging="1980"/>
      </w:pPr>
      <w:r>
        <w:rPr>
          <w:noProof/>
          <w:szCs w:val="20"/>
          <w:lang w:eastAsia="de-DE"/>
        </w:rPr>
        <mc:AlternateContent>
          <mc:Choice Requires="wps">
            <w:drawing>
              <wp:anchor distT="0" distB="0" distL="114300" distR="114300" simplePos="0" relativeHeight="251661312" behindDoc="0" locked="0" layoutInCell="1" allowOverlap="1">
                <wp:simplePos x="0" y="0"/>
                <wp:positionH relativeFrom="column">
                  <wp:posOffset>139700</wp:posOffset>
                </wp:positionH>
                <wp:positionV relativeFrom="paragraph">
                  <wp:posOffset>699770</wp:posOffset>
                </wp:positionV>
                <wp:extent cx="5873115" cy="1943100"/>
                <wp:effectExtent l="10795" t="13970" r="12065" b="14605"/>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43100"/>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6F3C" w:rsidRPr="007658D2" w:rsidRDefault="00B56F3C" w:rsidP="00B56F3C">
                            <w:pPr>
                              <w:rPr>
                                <w:color w:val="auto"/>
                              </w:rPr>
                            </w:pPr>
                            <w:r w:rsidRPr="007658D2">
                              <w:rPr>
                                <w:b/>
                                <w:color w:val="auto"/>
                              </w:rPr>
                              <w:t xml:space="preserve">Unterrichtsanschlüsse </w:t>
                            </w:r>
                            <w:r w:rsidRPr="007658D2">
                              <w:rPr>
                                <w:color w:val="auto"/>
                              </w:rPr>
                              <w:t>Der Versuch eignet sich sehr gut, um die Messung von Schmelzpunkt, bzw. Erstarrungstemperatur ohne Bunsenbrenner mit den SuS einzuüben und den Temper</w:t>
                            </w:r>
                            <w:r w:rsidRPr="007658D2">
                              <w:rPr>
                                <w:color w:val="auto"/>
                              </w:rPr>
                              <w:t>a</w:t>
                            </w:r>
                            <w:r w:rsidRPr="007658D2">
                              <w:rPr>
                                <w:color w:val="auto"/>
                              </w:rPr>
                              <w:t>turverlauf bei di</w:t>
                            </w:r>
                            <w:r w:rsidRPr="007658D2">
                              <w:rPr>
                                <w:color w:val="auto"/>
                              </w:rPr>
                              <w:t>e</w:t>
                            </w:r>
                            <w:r w:rsidRPr="007658D2">
                              <w:rPr>
                                <w:color w:val="auto"/>
                              </w:rPr>
                              <w:t>sen Aggregatzustandsänderungen in Analogie zum Sieden und Kondensieren zu thematisieren. Im Anschluss an diese gut durchführbare Messung könnten die SuS die Schmelztemperatur eini</w:t>
                            </w:r>
                            <w:bookmarkStart w:id="0" w:name="_GoBack"/>
                            <w:bookmarkEnd w:id="0"/>
                            <w:r w:rsidRPr="007658D2">
                              <w:rPr>
                                <w:color w:val="auto"/>
                              </w:rPr>
                              <w:t xml:space="preserve">ger Haushaltsstoffe wie </w:t>
                            </w:r>
                            <w:proofErr w:type="spellStart"/>
                            <w:r w:rsidRPr="007658D2">
                              <w:rPr>
                                <w:color w:val="auto"/>
                              </w:rPr>
                              <w:t>z.B</w:t>
                            </w:r>
                            <w:proofErr w:type="spellEnd"/>
                            <w:r w:rsidRPr="007658D2">
                              <w:rPr>
                                <w:color w:val="auto"/>
                              </w:rPr>
                              <w:t>. Butter oder Kerzenwachs untersuchen. Bei diesen Stoffen aus dem Haushalt sind nur Schmelzbereiche zu messen, sodass der Unte</w:t>
                            </w:r>
                            <w:r w:rsidRPr="007658D2">
                              <w:rPr>
                                <w:color w:val="auto"/>
                              </w:rPr>
                              <w:t>r</w:t>
                            </w:r>
                            <w:r w:rsidRPr="007658D2">
                              <w:rPr>
                                <w:color w:val="auto"/>
                              </w:rPr>
                              <w:t xml:space="preserve">schied zwischen einem Reinstoff und einem Stoffgemisch thematisiert werden kann.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left:0;text-align:left;margin-left:11pt;margin-top:55.1pt;width:462.4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" strokecolor="red" strokeweight="1pt">
                <v:stroke dashstyle="dash"/>
                <v:shadow color="#868686"/>
                <v:textbox>
                  <w:txbxContent>
                    <w:p w:rsidR="00B56F3C" w:rsidRPr="007658D2" w:rsidRDefault="00B56F3C" w:rsidP="00B56F3C">
                      <w:pPr>
                        <w:rPr>
                          <w:color w:val="auto"/>
                        </w:rPr>
                      </w:pPr>
                      <w:r w:rsidRPr="007658D2">
                        <w:rPr>
                          <w:b/>
                          <w:color w:val="auto"/>
                        </w:rPr>
                        <w:t xml:space="preserve">Unterrichtsanschlüsse </w:t>
                      </w:r>
                      <w:r w:rsidRPr="007658D2">
                        <w:rPr>
                          <w:color w:val="auto"/>
                        </w:rPr>
                        <w:t>Der Versuch eignet sich sehr gut, um die Messung von Schmelzpunkt, bzw. Erstarrungstemperatur ohne Bunsenbrenner mit den SuS einzuüben und den Temper</w:t>
                      </w:r>
                      <w:r w:rsidRPr="007658D2">
                        <w:rPr>
                          <w:color w:val="auto"/>
                        </w:rPr>
                        <w:t>a</w:t>
                      </w:r>
                      <w:r w:rsidRPr="007658D2">
                        <w:rPr>
                          <w:color w:val="auto"/>
                        </w:rPr>
                        <w:t>turverlauf bei di</w:t>
                      </w:r>
                      <w:r w:rsidRPr="007658D2">
                        <w:rPr>
                          <w:color w:val="auto"/>
                        </w:rPr>
                        <w:t>e</w:t>
                      </w:r>
                      <w:r w:rsidRPr="007658D2">
                        <w:rPr>
                          <w:color w:val="auto"/>
                        </w:rPr>
                        <w:t>sen Aggregatzustandsänderungen in Analogie zum Sieden und Kondensieren zu thematisieren. Im Anschluss an diese gut durchführbare Messung könnten die SuS die Schmelztemperatur eini</w:t>
                      </w:r>
                      <w:bookmarkStart w:id="1" w:name="_GoBack"/>
                      <w:bookmarkEnd w:id="1"/>
                      <w:r w:rsidRPr="007658D2">
                        <w:rPr>
                          <w:color w:val="auto"/>
                        </w:rPr>
                        <w:t xml:space="preserve">ger Haushaltsstoffe wie </w:t>
                      </w:r>
                      <w:proofErr w:type="spellStart"/>
                      <w:r w:rsidRPr="007658D2">
                        <w:rPr>
                          <w:color w:val="auto"/>
                        </w:rPr>
                        <w:t>z.B</w:t>
                      </w:r>
                      <w:proofErr w:type="spellEnd"/>
                      <w:r w:rsidRPr="007658D2">
                        <w:rPr>
                          <w:color w:val="auto"/>
                        </w:rPr>
                        <w:t>. Butter oder Kerzenwachs untersuchen. Bei diesen Stoffen aus dem Haushalt sind nur Schmelzbereiche zu messen, sodass der Unte</w:t>
                      </w:r>
                      <w:r w:rsidRPr="007658D2">
                        <w:rPr>
                          <w:color w:val="auto"/>
                        </w:rPr>
                        <w:t>r</w:t>
                      </w:r>
                      <w:r w:rsidRPr="007658D2">
                        <w:rPr>
                          <w:color w:val="auto"/>
                        </w:rPr>
                        <w:t xml:space="preserve">schied zwischen einem Reinstoff und einem Stoffgemisch thematisiert werden kann.  </w:t>
                      </w:r>
                    </w:p>
                  </w:txbxContent>
                </v:textbox>
                <w10:wrap type="square"/>
              </v:shape>
            </w:pict>
          </mc:Fallback>
        </mc:AlternateContent>
      </w:r>
      <w:r>
        <w:t>Literatur:</w:t>
      </w:r>
      <w:r>
        <w:tab/>
      </w:r>
      <w:r>
        <w:t xml:space="preserve">Fischer, W., Glöckner W. (Hrsg.) 1988. </w:t>
      </w:r>
      <w:r w:rsidRPr="00F24DE5">
        <w:rPr>
          <w:i/>
          <w:noProof/>
        </w:rPr>
        <w:t>Stoff und Formel</w:t>
      </w:r>
      <w:r>
        <w:rPr>
          <w:noProof/>
        </w:rPr>
        <w:t xml:space="preserve"> (Ausgabe NRW) Bamberg: C.C. Bu</w:t>
      </w:r>
    </w:p>
    <w:sectPr w:rsidR="006F6F33" w:rsidRPr="00B56F3C" w:rsidSect="00105256">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213" w:rsidRDefault="00691213" w:rsidP="009524CC">
      <w:pPr>
        <w:spacing w:after="0"/>
      </w:pPr>
      <w:r>
        <w:separator/>
      </w:r>
    </w:p>
  </w:endnote>
  <w:endnote w:type="continuationSeparator" w:id="0">
    <w:p w:rsidR="00691213" w:rsidRDefault="00691213"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213" w:rsidRDefault="00691213" w:rsidP="009524CC">
      <w:pPr>
        <w:spacing w:after="0"/>
      </w:pPr>
      <w:r>
        <w:separator/>
      </w:r>
    </w:p>
  </w:footnote>
  <w:footnote w:type="continuationSeparator" w:id="0">
    <w:p w:rsidR="00691213" w:rsidRDefault="00691213"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B56F3C" w:rsidRPr="00B56F3C">
            <w:rPr>
              <w:b/>
              <w:bCs/>
              <w:noProof/>
              <w:sz w:val="20"/>
              <w:szCs w:val="20"/>
            </w:rPr>
            <w:t>V 5 – Erhitzen und Abkühlen von Stearinsäure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B56F3C">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0EE6"/>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213"/>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73"/>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6F6F33"/>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56F3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1EE1"/>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cz"/><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27278-C292-4AF7-99C5-DB8774DB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2013-07-02T12:34:00Z</dcterms:created>
  <dcterms:modified xsi:type="dcterms:W3CDTF">2013-07-02T12:34:00Z</dcterms:modified>
</cp:coreProperties>
</file>