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55E" w:rsidRDefault="0091755E" w:rsidP="0091755E">
      <w:pPr>
        <w:pStyle w:val="berschrift1"/>
        <w:numPr>
          <w:ilvl w:val="0"/>
          <w:numId w:val="0"/>
        </w:numPr>
        <w:ind w:left="431" w:hanging="431"/>
      </w:pPr>
      <w:r>
        <w:rPr>
          <w:noProof/>
          <w:lang w:eastAsia="de-DE"/>
        </w:rPr>
        <mc:AlternateContent>
          <mc:Choice Requires="wps">
            <w:drawing>
              <wp:anchor distT="0" distB="0" distL="114300" distR="114300" simplePos="0" relativeHeight="251658240" behindDoc="0" locked="0" layoutInCell="1" allowOverlap="1" wp14:anchorId="0BE16E0D" wp14:editId="6247ADCE">
                <wp:simplePos x="0" y="0"/>
                <wp:positionH relativeFrom="column">
                  <wp:posOffset>-635</wp:posOffset>
                </wp:positionH>
                <wp:positionV relativeFrom="paragraph">
                  <wp:posOffset>722630</wp:posOffset>
                </wp:positionV>
                <wp:extent cx="5873115" cy="1503045"/>
                <wp:effectExtent l="0" t="0" r="13335" b="20955"/>
                <wp:wrapSquare wrapText="bothSides"/>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503045"/>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755E" w:rsidRDefault="0091755E" w:rsidP="0091755E">
                            <w:pPr>
                              <w:rPr>
                                <w:color w:val="1F497D"/>
                              </w:rPr>
                            </w:pPr>
                            <w:r>
                              <w:rPr>
                                <w:color w:val="1F497D"/>
                              </w:rPr>
                              <w:t>Das Experiment demonstriert wie ein fester Eiswürfel zuerst schmilzt, das entstehende Wasser verdampft und dieser Wasserdampf durch Umkehr der Aggregatszustandsänderungen in einem anderen Gefäß wieder zu einem festen Eiswürfel wird. Dabei werden Schmelz- und Si</w:t>
                            </w:r>
                            <w:r>
                              <w:rPr>
                                <w:color w:val="1F497D"/>
                              </w:rPr>
                              <w:t>e</w:t>
                            </w:r>
                            <w:r>
                              <w:rPr>
                                <w:color w:val="1F497D"/>
                              </w:rPr>
                              <w:t xml:space="preserve">detemperatur bestimmt und durch anlegen eines Vakuum die Druckabhängigkeit verdeutlicht. Die SuS sollten zuvor mit den Messverfahren und der Apparatur vertraut gemacht werden. Alltagswissen über Wasser ist ausreichend.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left:0;text-align:left;margin-left:-.05pt;margin-top:56.9pt;width:462.45pt;height:11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" strokecolor="#4bacc6" strokeweight="1pt">
                <v:stroke dashstyle="dash"/>
                <v:shadow color="#868686"/>
                <v:textbox>
                  <w:txbxContent>
                    <w:p w:rsidR="0091755E" w:rsidRDefault="0091755E" w:rsidP="0091755E">
                      <w:pPr>
                        <w:rPr>
                          <w:color w:val="1F497D"/>
                        </w:rPr>
                      </w:pPr>
                      <w:r>
                        <w:rPr>
                          <w:color w:val="1F497D"/>
                        </w:rPr>
                        <w:t>Das Experiment demonstriert wie ein fester Eiswürfel zuerst schmilzt, das entstehende Wasser verdampft und dieser Wasserdampf durch Umkehr der Aggregatszustandsänderungen in einem anderen Gefäß wieder zu einem festen Eiswürfel wird. Dabei werden Schmelz- und Si</w:t>
                      </w:r>
                      <w:r>
                        <w:rPr>
                          <w:color w:val="1F497D"/>
                        </w:rPr>
                        <w:t>e</w:t>
                      </w:r>
                      <w:r>
                        <w:rPr>
                          <w:color w:val="1F497D"/>
                        </w:rPr>
                        <w:t xml:space="preserve">detemperatur bestimmt und durch anlegen eines Vakuum die Druckabhängigkeit verdeutlicht. Die SuS sollten zuvor mit den Messverfahren und der Apparatur vertraut gemacht werden. Alltagswissen über Wasser ist ausreichend. </w:t>
                      </w:r>
                    </w:p>
                  </w:txbxContent>
                </v:textbox>
                <w10:wrap type="square"/>
              </v:shape>
            </w:pict>
          </mc:Fallback>
        </mc:AlternateContent>
      </w:r>
      <w:bookmarkStart w:id="0" w:name="_Toc337138002"/>
      <w:r>
        <w:t xml:space="preserve">V </w:t>
      </w:r>
      <w:r>
        <w:t>1</w:t>
      </w:r>
      <w:bookmarkStart w:id="1" w:name="_GoBack"/>
      <w:bookmarkEnd w:id="1"/>
      <w:r>
        <w:t xml:space="preserve"> – „Der wandernde Eiswürfel“</w:t>
      </w:r>
      <w:bookmarkEnd w:id="0"/>
    </w:p>
    <w:p w:rsidR="0091755E" w:rsidRDefault="0091755E" w:rsidP="0091755E"/>
    <w:tbl>
      <w:tblPr>
        <w:tblW w:w="6487" w:type="dxa"/>
        <w:tblBorders>
          <w:top w:val="single" w:sz="8" w:space="0" w:color="4F81BD"/>
          <w:bottom w:val="single" w:sz="8" w:space="0" w:color="4F81BD"/>
        </w:tblBorders>
        <w:tblLook w:val="04A0" w:firstRow="1" w:lastRow="0" w:firstColumn="1" w:lastColumn="0" w:noHBand="0" w:noVBand="1"/>
      </w:tblPr>
      <w:tblGrid>
        <w:gridCol w:w="2259"/>
        <w:gridCol w:w="1677"/>
        <w:gridCol w:w="2551"/>
      </w:tblGrid>
      <w:tr w:rsidR="0091755E" w:rsidTr="0091755E">
        <w:tc>
          <w:tcPr>
            <w:tcW w:w="6487" w:type="dxa"/>
            <w:gridSpan w:val="3"/>
            <w:tcBorders>
              <w:top w:val="single" w:sz="8" w:space="0" w:color="4F81BD"/>
              <w:left w:val="nil"/>
              <w:bottom w:val="single" w:sz="8" w:space="0" w:color="4F81BD"/>
              <w:right w:val="nil"/>
            </w:tcBorders>
            <w:vAlign w:val="center"/>
            <w:hideMark/>
          </w:tcPr>
          <w:p w:rsidR="0091755E" w:rsidRDefault="0091755E">
            <w:pPr>
              <w:spacing w:after="0"/>
              <w:jc w:val="center"/>
              <w:rPr>
                <w:b/>
                <w:bCs/>
                <w:sz w:val="20"/>
              </w:rPr>
            </w:pPr>
            <w:r>
              <w:rPr>
                <w:b/>
                <w:bCs/>
                <w:sz w:val="20"/>
              </w:rPr>
              <w:t>Gefahrenstoffe</w:t>
            </w:r>
          </w:p>
        </w:tc>
      </w:tr>
      <w:tr w:rsidR="0091755E" w:rsidTr="0091755E">
        <w:trPr>
          <w:trHeight w:val="352"/>
        </w:trPr>
        <w:tc>
          <w:tcPr>
            <w:tcW w:w="2259" w:type="dxa"/>
            <w:tcBorders>
              <w:top w:val="nil"/>
              <w:left w:val="nil"/>
              <w:bottom w:val="nil"/>
              <w:right w:val="nil"/>
            </w:tcBorders>
            <w:shd w:val="clear" w:color="auto" w:fill="D3DFEE"/>
            <w:vAlign w:val="center"/>
            <w:hideMark/>
          </w:tcPr>
          <w:p w:rsidR="0091755E" w:rsidRDefault="0091755E">
            <w:pPr>
              <w:spacing w:after="0" w:line="276" w:lineRule="auto"/>
              <w:ind w:right="-180"/>
              <w:jc w:val="center"/>
              <w:rPr>
                <w:bCs/>
                <w:sz w:val="20"/>
              </w:rPr>
            </w:pPr>
            <w:r>
              <w:rPr>
                <w:bCs/>
                <w:sz w:val="20"/>
              </w:rPr>
              <w:t>Wasser</w:t>
            </w:r>
          </w:p>
        </w:tc>
        <w:tc>
          <w:tcPr>
            <w:tcW w:w="1677" w:type="dxa"/>
            <w:tcBorders>
              <w:top w:val="nil"/>
              <w:left w:val="nil"/>
              <w:bottom w:val="nil"/>
              <w:right w:val="nil"/>
            </w:tcBorders>
            <w:shd w:val="clear" w:color="auto" w:fill="D3DFEE"/>
            <w:vAlign w:val="center"/>
            <w:hideMark/>
          </w:tcPr>
          <w:p w:rsidR="0091755E" w:rsidRDefault="0091755E">
            <w:pPr>
              <w:spacing w:after="0" w:line="276" w:lineRule="auto"/>
              <w:jc w:val="center"/>
              <w:rPr>
                <w:color w:val="auto"/>
                <w:sz w:val="20"/>
              </w:rPr>
            </w:pPr>
            <w:r>
              <w:rPr>
                <w:color w:val="auto"/>
                <w:sz w:val="20"/>
              </w:rPr>
              <w:t>H: -</w:t>
            </w:r>
          </w:p>
        </w:tc>
        <w:tc>
          <w:tcPr>
            <w:tcW w:w="2551" w:type="dxa"/>
            <w:tcBorders>
              <w:top w:val="nil"/>
              <w:left w:val="nil"/>
              <w:bottom w:val="nil"/>
              <w:right w:val="nil"/>
            </w:tcBorders>
            <w:shd w:val="clear" w:color="auto" w:fill="D3DFEE"/>
            <w:vAlign w:val="center"/>
            <w:hideMark/>
          </w:tcPr>
          <w:p w:rsidR="0091755E" w:rsidRDefault="0091755E">
            <w:pPr>
              <w:spacing w:after="0" w:line="276" w:lineRule="auto"/>
              <w:jc w:val="center"/>
              <w:rPr>
                <w:color w:val="auto"/>
                <w:sz w:val="20"/>
              </w:rPr>
            </w:pPr>
            <w:r>
              <w:rPr>
                <w:color w:val="auto"/>
                <w:sz w:val="20"/>
              </w:rPr>
              <w:t>P: -</w:t>
            </w:r>
          </w:p>
        </w:tc>
      </w:tr>
      <w:tr w:rsidR="0091755E" w:rsidTr="0091755E">
        <w:trPr>
          <w:trHeight w:val="292"/>
        </w:trPr>
        <w:tc>
          <w:tcPr>
            <w:tcW w:w="2259" w:type="dxa"/>
            <w:tcBorders>
              <w:top w:val="nil"/>
              <w:left w:val="nil"/>
              <w:bottom w:val="single" w:sz="8" w:space="0" w:color="4F81BD"/>
              <w:right w:val="nil"/>
            </w:tcBorders>
            <w:vAlign w:val="center"/>
            <w:hideMark/>
          </w:tcPr>
          <w:p w:rsidR="0091755E" w:rsidRDefault="0091755E">
            <w:pPr>
              <w:spacing w:after="0" w:line="276" w:lineRule="auto"/>
              <w:ind w:right="-180"/>
              <w:jc w:val="center"/>
              <w:rPr>
                <w:bCs/>
                <w:sz w:val="20"/>
              </w:rPr>
            </w:pPr>
            <w:r>
              <w:rPr>
                <w:bCs/>
                <w:sz w:val="20"/>
              </w:rPr>
              <w:t xml:space="preserve">Kältesalz </w:t>
            </w:r>
          </w:p>
          <w:p w:rsidR="0091755E" w:rsidRDefault="0091755E">
            <w:pPr>
              <w:spacing w:after="0" w:line="276" w:lineRule="auto"/>
              <w:ind w:right="-180"/>
              <w:jc w:val="center"/>
              <w:rPr>
                <w:bCs/>
                <w:sz w:val="20"/>
              </w:rPr>
            </w:pPr>
            <w:r>
              <w:rPr>
                <w:bCs/>
                <w:sz w:val="20"/>
              </w:rPr>
              <w:t>(Natriumchlorid)</w:t>
            </w:r>
          </w:p>
        </w:tc>
        <w:tc>
          <w:tcPr>
            <w:tcW w:w="1677" w:type="dxa"/>
            <w:tcBorders>
              <w:top w:val="nil"/>
              <w:left w:val="nil"/>
              <w:bottom w:val="single" w:sz="8" w:space="0" w:color="4F81BD"/>
              <w:right w:val="nil"/>
            </w:tcBorders>
            <w:vAlign w:val="center"/>
            <w:hideMark/>
          </w:tcPr>
          <w:p w:rsidR="0091755E" w:rsidRDefault="0091755E">
            <w:pPr>
              <w:spacing w:after="0" w:line="276" w:lineRule="auto"/>
              <w:jc w:val="center"/>
              <w:rPr>
                <w:color w:val="auto"/>
                <w:sz w:val="20"/>
              </w:rPr>
            </w:pPr>
            <w:r>
              <w:rPr>
                <w:color w:val="auto"/>
                <w:sz w:val="20"/>
              </w:rPr>
              <w:t>H: -</w:t>
            </w:r>
          </w:p>
        </w:tc>
        <w:tc>
          <w:tcPr>
            <w:tcW w:w="2551" w:type="dxa"/>
            <w:tcBorders>
              <w:top w:val="nil"/>
              <w:left w:val="nil"/>
              <w:bottom w:val="single" w:sz="8" w:space="0" w:color="4F81BD"/>
              <w:right w:val="nil"/>
            </w:tcBorders>
            <w:vAlign w:val="center"/>
            <w:hideMark/>
          </w:tcPr>
          <w:p w:rsidR="0091755E" w:rsidRDefault="0091755E">
            <w:pPr>
              <w:spacing w:after="0" w:line="276" w:lineRule="auto"/>
              <w:jc w:val="center"/>
              <w:rPr>
                <w:color w:val="auto"/>
                <w:sz w:val="20"/>
              </w:rPr>
            </w:pPr>
            <w:r>
              <w:rPr>
                <w:color w:val="auto"/>
                <w:sz w:val="20"/>
              </w:rPr>
              <w:t>P: -</w:t>
            </w:r>
          </w:p>
        </w:tc>
      </w:tr>
    </w:tbl>
    <w:p w:rsidR="0091755E" w:rsidRDefault="0091755E" w:rsidP="0091755E">
      <w:pPr>
        <w:tabs>
          <w:tab w:val="left" w:pos="1701"/>
          <w:tab w:val="left" w:pos="1985"/>
        </w:tabs>
        <w:ind w:left="1980" w:hanging="1980"/>
      </w:pPr>
    </w:p>
    <w:p w:rsidR="0091755E" w:rsidRDefault="0091755E" w:rsidP="0091755E">
      <w:pPr>
        <w:tabs>
          <w:tab w:val="left" w:pos="1701"/>
          <w:tab w:val="left" w:pos="1985"/>
        </w:tabs>
        <w:ind w:left="1980" w:hanging="1980"/>
      </w:pPr>
      <w:r>
        <w:t xml:space="preserve">Materialien: </w:t>
      </w:r>
      <w:r>
        <w:tab/>
      </w:r>
      <w:r>
        <w:tab/>
        <w:t>Destillierbrücke, 2x Kolben (ca. 100 ml), Thermometer mit Schliff, The</w:t>
      </w:r>
      <w:r>
        <w:t>r</w:t>
      </w:r>
      <w:r>
        <w:t>mometer, 2x Kühlwasserschläuche, Vakuumschlauch, Siedesteinchen, Bu</w:t>
      </w:r>
      <w:r>
        <w:t>n</w:t>
      </w:r>
      <w:r>
        <w:t>senbrenner, Becherglas (1000 ml), diverse Klemmen und Schlauchsche</w:t>
      </w:r>
      <w:r>
        <w:t>l</w:t>
      </w:r>
      <w:r>
        <w:t>len.</w:t>
      </w:r>
    </w:p>
    <w:p w:rsidR="0091755E" w:rsidRDefault="0091755E" w:rsidP="0091755E">
      <w:pPr>
        <w:tabs>
          <w:tab w:val="left" w:pos="1701"/>
          <w:tab w:val="left" w:pos="1985"/>
        </w:tabs>
        <w:ind w:left="1980" w:hanging="1980"/>
      </w:pPr>
      <w:r>
        <w:t>Chemikalien:</w:t>
      </w:r>
      <w:r>
        <w:tab/>
      </w:r>
      <w:r>
        <w:tab/>
        <w:t>Eiswürfel ca. 20 g, 500 g Eis, ca. 100 g Kältesalz</w:t>
      </w:r>
    </w:p>
    <w:p w:rsidR="0091755E" w:rsidRDefault="0091755E" w:rsidP="0091755E">
      <w:pPr>
        <w:tabs>
          <w:tab w:val="left" w:pos="1701"/>
          <w:tab w:val="left" w:pos="1985"/>
        </w:tabs>
        <w:ind w:left="1980" w:hanging="1980"/>
      </w:pPr>
      <w:r>
        <w:t xml:space="preserve">Durchführung: </w:t>
      </w:r>
      <w:r>
        <w:tab/>
      </w:r>
      <w:r>
        <w:tab/>
      </w:r>
      <w:r>
        <w:tab/>
        <w:t xml:space="preserve">Es wird wie in </w:t>
      </w:r>
      <w:r>
        <w:fldChar w:fldCharType="begin"/>
      </w:r>
      <w:r>
        <w:instrText xml:space="preserve"> REF _Ref336810689 \h </w:instrText>
      </w:r>
      <w:r>
        <w:fldChar w:fldCharType="separate"/>
      </w:r>
      <w:r>
        <w:t xml:space="preserve">Abbildung </w:t>
      </w:r>
      <w:r>
        <w:rPr>
          <w:noProof/>
        </w:rPr>
        <w:t>1</w:t>
      </w:r>
      <w:r>
        <w:fldChar w:fldCharType="end"/>
      </w:r>
      <w:r>
        <w:t xml:space="preserve"> zu sehen eine Destillationsapparatur aufg</w:t>
      </w:r>
      <w:r>
        <w:t>e</w:t>
      </w:r>
      <w:r>
        <w:t>baut. In diese wird ein Eiswürfel gegeben und anschließend kräftigt e</w:t>
      </w:r>
      <w:r>
        <w:t>r</w:t>
      </w:r>
      <w:r>
        <w:t>hitzt, bis ein großer Teil verdampft ist und am anderen Ende der Appar</w:t>
      </w:r>
      <w:r>
        <w:t>a</w:t>
      </w:r>
      <w:r>
        <w:t>tur kondensieren kann. Gleichzeitig mit dem Sieden und Gefrieren des Wassers werden Siede- sowie Schmelztemperatur gemessen. Eine M</w:t>
      </w:r>
      <w:r>
        <w:t>i</w:t>
      </w:r>
      <w:r>
        <w:t>schung aus Eis und Kältesalz bewirkt ein schnelles Abkühlen des konde</w:t>
      </w:r>
      <w:r>
        <w:t>n</w:t>
      </w:r>
      <w:r>
        <w:t>sierten Wassers unter den Gefrierpunkt.</w:t>
      </w:r>
    </w:p>
    <w:p w:rsidR="0091755E" w:rsidRDefault="0091755E" w:rsidP="0091755E">
      <w:pPr>
        <w:tabs>
          <w:tab w:val="left" w:pos="1701"/>
          <w:tab w:val="left" w:pos="1985"/>
        </w:tabs>
        <w:ind w:left="1980" w:hanging="1980"/>
      </w:pPr>
      <w:r>
        <w:tab/>
      </w:r>
      <w:r>
        <w:tab/>
        <w:t>In einem zweiten Versuchsdurchlauf wird die Apparatur luftdicht ve</w:t>
      </w:r>
      <w:r>
        <w:t>r</w:t>
      </w:r>
      <w:r>
        <w:t>schlossen und Vakuum angelegt.</w:t>
      </w:r>
    </w:p>
    <w:p w:rsidR="0091755E" w:rsidRDefault="0091755E" w:rsidP="0091755E">
      <w:pPr>
        <w:tabs>
          <w:tab w:val="left" w:pos="1701"/>
          <w:tab w:val="left" w:pos="1985"/>
        </w:tabs>
        <w:ind w:left="1980" w:hanging="1980"/>
      </w:pPr>
    </w:p>
    <w:p w:rsidR="0091755E" w:rsidRDefault="0091755E" w:rsidP="0091755E">
      <w:pPr>
        <w:tabs>
          <w:tab w:val="left" w:pos="1701"/>
          <w:tab w:val="left" w:pos="1985"/>
        </w:tabs>
        <w:ind w:left="1980" w:hanging="1980"/>
      </w:pPr>
      <w:r>
        <w:t>Beobachtung:</w:t>
      </w:r>
      <w:r>
        <w:tab/>
      </w:r>
      <w:r>
        <w:tab/>
      </w:r>
      <w:r>
        <w:tab/>
        <w:t>Während des Versuchsablaufs schmilzt im linken Teil der Eiswürfel durch die Wärme des Brenners. Sobald das entstandene Wasser bei 100 °C si</w:t>
      </w:r>
      <w:r>
        <w:t>e</w:t>
      </w:r>
      <w:r>
        <w:lastRenderedPageBreak/>
        <w:t>det, kann man den Wasserdampf am Ende der Destillierbrücke zunächst zu Wasser kondensieren sehen. Etwa 5 min danach beobachtet man wie di</w:t>
      </w:r>
      <w:r>
        <w:t>e</w:t>
      </w:r>
      <w:r>
        <w:t>ses Wasser wieder bei 0 °C gefriert.</w:t>
      </w:r>
    </w:p>
    <w:p w:rsidR="0091755E" w:rsidRDefault="0091755E" w:rsidP="0091755E">
      <w:pPr>
        <w:keepNext/>
        <w:tabs>
          <w:tab w:val="left" w:pos="1701"/>
          <w:tab w:val="left" w:pos="1985"/>
        </w:tabs>
        <w:ind w:left="1980" w:hanging="1980"/>
      </w:pPr>
      <w:r>
        <w:rPr>
          <w:noProof/>
          <w:lang w:eastAsia="de-DE"/>
        </w:rPr>
        <w:drawing>
          <wp:inline distT="0" distB="0" distL="0" distR="0">
            <wp:extent cx="5762625" cy="4097655"/>
            <wp:effectExtent l="0" t="5715" r="381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762625" cy="4097655"/>
                    </a:xfrm>
                    <a:prstGeom prst="rect">
                      <a:avLst/>
                    </a:prstGeom>
                    <a:noFill/>
                    <a:ln>
                      <a:noFill/>
                    </a:ln>
                  </pic:spPr>
                </pic:pic>
              </a:graphicData>
            </a:graphic>
          </wp:inline>
        </w:drawing>
      </w:r>
    </w:p>
    <w:p w:rsidR="0091755E" w:rsidRDefault="0091755E" w:rsidP="0091755E">
      <w:pPr>
        <w:pStyle w:val="Beschriftung"/>
      </w:pPr>
      <w:bookmarkStart w:id="2" w:name="_Ref336810689"/>
      <w:r>
        <w:t xml:space="preserve">Abbildung </w:t>
      </w:r>
      <w:r>
        <w:fldChar w:fldCharType="begin"/>
      </w:r>
      <w:r>
        <w:instrText xml:space="preserve"> SEQ Abbildung \* ARABIC </w:instrText>
      </w:r>
      <w:r>
        <w:fldChar w:fldCharType="separate"/>
      </w:r>
      <w:r>
        <w:rPr>
          <w:noProof/>
        </w:rPr>
        <w:t>1</w:t>
      </w:r>
      <w:r>
        <w:fldChar w:fldCharType="end"/>
      </w:r>
      <w:bookmarkEnd w:id="2"/>
      <w:r>
        <w:t>: Versuchsaufbau zu "Der wandernde Eiswürfel"</w:t>
      </w:r>
    </w:p>
    <w:p w:rsidR="0091755E" w:rsidRDefault="0091755E" w:rsidP="0091755E">
      <w:pPr>
        <w:tabs>
          <w:tab w:val="left" w:pos="1701"/>
          <w:tab w:val="left" w:pos="1985"/>
        </w:tabs>
        <w:ind w:left="1980" w:hanging="1980"/>
      </w:pPr>
    </w:p>
    <w:p w:rsidR="0091755E" w:rsidRDefault="0091755E" w:rsidP="0091755E">
      <w:pPr>
        <w:tabs>
          <w:tab w:val="left" w:pos="1701"/>
          <w:tab w:val="left" w:pos="1985"/>
        </w:tabs>
        <w:ind w:left="1980" w:hanging="1980"/>
      </w:pPr>
      <w:r>
        <w:t>Deutung:</w:t>
      </w:r>
      <w:r>
        <w:tab/>
      </w:r>
      <w:r>
        <w:tab/>
      </w:r>
      <w:r>
        <w:tab/>
        <w:t>Es finden je nach Druck die entsprechenden Aggregatszustandsänderu</w:t>
      </w:r>
      <w:r>
        <w:t>n</w:t>
      </w:r>
      <w:r>
        <w:t>gen beim Wasser statt. Durch Wasserkühlung kondensiert der Wasse</w:t>
      </w:r>
      <w:r>
        <w:t>r</w:t>
      </w:r>
      <w:r>
        <w:t xml:space="preserve">dampf an der Destillierbrücke und tropft in den Auffangkolben. Das mit </w:t>
      </w:r>
      <w:r>
        <w:lastRenderedPageBreak/>
        <w:t>Kältesalz angereicherte Eis um diesen hat eine Temperatur von ca. -20 °C, wodurch eine schnelle Abkühlung unter den Gefrierpunkt stattfindet.</w:t>
      </w:r>
    </w:p>
    <w:p w:rsidR="0091755E" w:rsidRDefault="0091755E" w:rsidP="0091755E">
      <w:pPr>
        <w:tabs>
          <w:tab w:val="left" w:pos="1701"/>
          <w:tab w:val="left" w:pos="1985"/>
        </w:tabs>
        <w:ind w:left="1980" w:hanging="1980"/>
      </w:pPr>
      <w:r>
        <w:tab/>
      </w:r>
      <w:r>
        <w:tab/>
        <w:t>Liegt annähernd ein Vakuum an, so verringert sich die Siedetemperatur von 100 °C auf ca. 40 °C. Für den Schmelzpunkt ist nur eine kaum messb</w:t>
      </w:r>
      <w:r>
        <w:t>a</w:t>
      </w:r>
      <w:r>
        <w:t>re Verringerung zu verzeichnen.</w:t>
      </w:r>
    </w:p>
    <w:p w:rsidR="0091755E" w:rsidRDefault="0091755E" w:rsidP="0091755E">
      <w:pPr>
        <w:tabs>
          <w:tab w:val="left" w:pos="1701"/>
          <w:tab w:val="left" w:pos="1985"/>
        </w:tabs>
        <w:ind w:left="1980" w:hanging="1980"/>
      </w:pPr>
      <w:r>
        <w:t>Literatur:</w:t>
      </w:r>
      <w:r>
        <w:tab/>
      </w:r>
      <w:r>
        <w:tab/>
      </w:r>
      <w:r>
        <w:rPr>
          <w:noProof/>
        </w:rPr>
        <w:t>-</w:t>
      </w:r>
    </w:p>
    <w:p w:rsidR="00BE6DD9" w:rsidRPr="0091755E" w:rsidRDefault="0091755E" w:rsidP="0091755E">
      <w:pPr>
        <w:tabs>
          <w:tab w:val="left" w:pos="1701"/>
          <w:tab w:val="left" w:pos="1985"/>
        </w:tabs>
        <w:ind w:left="1980" w:hanging="1980"/>
      </w:pPr>
      <w:r>
        <w:rPr>
          <w:noProof/>
          <w:lang w:eastAsia="de-DE"/>
        </w:rPr>
        <mc:AlternateContent>
          <mc:Choice Requires="wps">
            <w:drawing>
              <wp:inline distT="0" distB="0" distL="0" distR="0" wp14:anchorId="11FD595F" wp14:editId="3F5A4B6F">
                <wp:extent cx="5873115" cy="795655"/>
                <wp:effectExtent l="9525" t="9525" r="13335" b="13970"/>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95655"/>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755E" w:rsidRDefault="0091755E" w:rsidP="0091755E">
                            <w:pPr>
                              <w:rPr>
                                <w:color w:val="auto"/>
                              </w:rPr>
                            </w:pPr>
                            <w:r>
                              <w:rPr>
                                <w:color w:val="auto"/>
                              </w:rPr>
                              <w:t>Der Versuch ermöglicht Anknüpfungspunkte zu den lebensweltlichen Themenbereichen Pri</w:t>
                            </w:r>
                            <w:r>
                              <w:rPr>
                                <w:color w:val="auto"/>
                              </w:rPr>
                              <w:t>n</w:t>
                            </w:r>
                            <w:r>
                              <w:rPr>
                                <w:color w:val="auto"/>
                              </w:rPr>
                              <w:t>zip des Schnellkochtopfs bzw. Kochen in großer Höhe oder die Funktionsweise eines Flüssi</w:t>
                            </w:r>
                            <w:r>
                              <w:rPr>
                                <w:color w:val="auto"/>
                              </w:rPr>
                              <w:t>g</w:t>
                            </w:r>
                            <w:r>
                              <w:rPr>
                                <w:color w:val="auto"/>
                              </w:rPr>
                              <w:t>gasfeuerzeugs. Die Entsorgung erfolgt unproblematisch über das Abwasser.</w:t>
                            </w:r>
                          </w:p>
                        </w:txbxContent>
                      </wps:txbx>
                      <wps:bodyPr rot="0" vert="horz" wrap="square" lIns="91440" tIns="45720" rIns="91440" bIns="45720" anchor="t" anchorCtr="0" upright="1">
                        <a:noAutofit/>
                      </wps:bodyPr>
                    </wps:wsp>
                  </a:graphicData>
                </a:graphic>
              </wp:inline>
            </w:drawing>
          </mc:Choice>
          <mc:Fallback>
            <w:pict>
              <v:shape id="Textfeld 2" o:spid="_x0000_s1027" type="#_x0000_t202" style="width:462.45pt;height:6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" strokecolor="#c0504d" strokeweight="1pt">
                <v:stroke dashstyle="dash"/>
                <v:shadow color="#868686"/>
                <v:textbox>
                  <w:txbxContent>
                    <w:p w:rsidR="0091755E" w:rsidRDefault="0091755E" w:rsidP="0091755E">
                      <w:pPr>
                        <w:rPr>
                          <w:color w:val="auto"/>
                        </w:rPr>
                      </w:pPr>
                      <w:r>
                        <w:rPr>
                          <w:color w:val="auto"/>
                        </w:rPr>
                        <w:t>Der Versuch ermöglicht Anknüpfungspunkte zu den lebensweltlichen Themenbereichen Pri</w:t>
                      </w:r>
                      <w:r>
                        <w:rPr>
                          <w:color w:val="auto"/>
                        </w:rPr>
                        <w:t>n</w:t>
                      </w:r>
                      <w:r>
                        <w:rPr>
                          <w:color w:val="auto"/>
                        </w:rPr>
                        <w:t>zip des Schnellkochtopfs bzw. Kochen in großer Höhe oder die Funktionsweise eines Flüssi</w:t>
                      </w:r>
                      <w:r>
                        <w:rPr>
                          <w:color w:val="auto"/>
                        </w:rPr>
                        <w:t>g</w:t>
                      </w:r>
                      <w:r>
                        <w:rPr>
                          <w:color w:val="auto"/>
                        </w:rPr>
                        <w:t>gasfeuerzeugs. Die Entsorgung erfolgt unproblematisch über das Abwasser.</w:t>
                      </w:r>
                    </w:p>
                  </w:txbxContent>
                </v:textbox>
                <w10:anchorlock/>
              </v:shape>
            </w:pict>
          </mc:Fallback>
        </mc:AlternateContent>
      </w:r>
    </w:p>
    <w:sectPr w:rsidR="00BE6DD9" w:rsidRPr="0091755E" w:rsidSect="00105256">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A28" w:rsidRDefault="00B12A28" w:rsidP="009524CC">
      <w:pPr>
        <w:spacing w:after="0"/>
      </w:pPr>
      <w:r>
        <w:separator/>
      </w:r>
    </w:p>
  </w:endnote>
  <w:endnote w:type="continuationSeparator" w:id="0">
    <w:p w:rsidR="00B12A28" w:rsidRDefault="00B12A28"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panose1 w:val="00000000000000000000"/>
    <w:charset w:val="00"/>
    <w:family w:val="modern"/>
    <w:notTrueType/>
    <w:pitch w:val="variable"/>
    <w:sig w:usb0="20000007"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A28" w:rsidRDefault="00B12A28" w:rsidP="009524CC">
      <w:pPr>
        <w:spacing w:after="0"/>
      </w:pPr>
      <w:r>
        <w:separator/>
      </w:r>
    </w:p>
  </w:footnote>
  <w:footnote w:type="continuationSeparator" w:id="0">
    <w:p w:rsidR="00B12A28" w:rsidRDefault="00B12A28"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91755E" w:rsidRPr="0091755E">
            <w:rPr>
              <w:b/>
              <w:bCs/>
              <w:noProof/>
              <w:sz w:val="20"/>
              <w:szCs w:val="20"/>
            </w:rPr>
            <w:t xml:space="preserve">V 1 – „Der wandernde </w:t>
          </w:r>
          <w:r w:rsidR="0091755E">
            <w:rPr>
              <w:noProof/>
              <w:sz w:val="20"/>
              <w:szCs w:val="20"/>
            </w:rPr>
            <w:t>Eiswürfel“</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91755E">
            <w:rPr>
              <w:noProof/>
              <w:sz w:val="20"/>
              <w:szCs w:val="20"/>
            </w:rPr>
            <w:t>1</w:t>
          </w:r>
          <w:r w:rsidRPr="00BD7F16">
            <w:rPr>
              <w:sz w:val="20"/>
              <w:szCs w:val="20"/>
            </w:rPr>
            <w:fldChar w:fldCharType="end"/>
          </w:r>
        </w:p>
      </w:tc>
    </w:tr>
  </w:tbl>
  <w:p w:rsidR="007B154A" w:rsidRPr="00501F12" w:rsidRDefault="007B154A" w:rsidP="00501F1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1755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A28"/>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57261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A778D-DF8D-4754-84D1-723DEAD52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268</Words>
  <Characters>1692</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Timm Wilke</cp:lastModifiedBy>
  <cp:revision>2</cp:revision>
  <cp:lastPrinted>2012-06-21T19:47:00Z</cp:lastPrinted>
  <dcterms:created xsi:type="dcterms:W3CDTF">2013-07-08T14:08:00Z</dcterms:created>
  <dcterms:modified xsi:type="dcterms:W3CDTF">2013-07-08T14:08:00Z</dcterms:modified>
</cp:coreProperties>
</file>