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801" w:rsidRDefault="00BB6801" w:rsidP="00BB6801">
      <w:pPr>
        <w:pStyle w:val="berschrift1"/>
        <w:numPr>
          <w:ilvl w:val="0"/>
          <w:numId w:val="0"/>
        </w:numPr>
      </w:pPr>
      <w:r>
        <w:rPr>
          <w:noProof/>
          <w:lang w:eastAsia="de-DE"/>
        </w:rPr>
        <w:pict>
          <v:shapetype id="_x0000_t202" coordsize="21600,21600" o:spt="202" path="m,l,21600r21600,l21600,xe">
            <v:stroke joinstyle="miter"/>
            <v:path gradientshapeok="t" o:connecttype="rect"/>
          </v:shapetype>
          <v:shape id="_x0000_s1032" type="#_x0000_t202" style="position:absolute;left:0;text-align:left;margin-left:-.05pt;margin-top:45.5pt;width:462.45pt;height:77.95pt;z-index:251660288;mso-width-relative:margin;mso-height-relative:margin" fillcolor="white [3201]" strokecolor="#4bacc6 [3208]" strokeweight="1pt">
            <v:stroke dashstyle="dash"/>
            <v:shadow color="#868686"/>
            <v:textbox style="mso-next-textbox:#_x0000_s1032">
              <w:txbxContent>
                <w:p w:rsidR="00BB6801" w:rsidRPr="007E0A5B" w:rsidRDefault="00BB6801" w:rsidP="00BB6801">
                  <w:pPr>
                    <w:rPr>
                      <w:color w:val="auto"/>
                    </w:rPr>
                  </w:pPr>
                  <w:r w:rsidRPr="007E0A5B">
                    <w:rPr>
                      <w:color w:val="auto"/>
                    </w:rPr>
                    <w:t>Der Versuch kann genutzt werden, um eine eindrucksvolle exotherme Reaktion zu demonstri</w:t>
                  </w:r>
                  <w:r w:rsidRPr="007E0A5B">
                    <w:rPr>
                      <w:color w:val="auto"/>
                    </w:rPr>
                    <w:t>e</w:t>
                  </w:r>
                  <w:r w:rsidRPr="007E0A5B">
                    <w:rPr>
                      <w:color w:val="auto"/>
                    </w:rPr>
                    <w:t xml:space="preserve">ren, bei der die Energie nicht nur in Form von Wärme, sondern auch als Lichtblitze frei wird. Die SuS sollten hierzu wissen, was eine exotherme Reaktion ist oder es sich im </w:t>
                  </w:r>
                  <w:proofErr w:type="gramStart"/>
                  <w:r w:rsidRPr="007E0A5B">
                    <w:rPr>
                      <w:color w:val="auto"/>
                    </w:rPr>
                    <w:t>Zuges</w:t>
                  </w:r>
                  <w:proofErr w:type="gramEnd"/>
                  <w:r w:rsidRPr="007E0A5B">
                    <w:rPr>
                      <w:color w:val="auto"/>
                    </w:rPr>
                    <w:t xml:space="preserve"> des Ve</w:t>
                  </w:r>
                  <w:r w:rsidRPr="007E0A5B">
                    <w:rPr>
                      <w:color w:val="auto"/>
                    </w:rPr>
                    <w:t>r</w:t>
                  </w:r>
                  <w:r w:rsidRPr="007E0A5B">
                    <w:rPr>
                      <w:color w:val="auto"/>
                    </w:rPr>
                    <w:t>suchs erarbeiten.</w:t>
                  </w:r>
                </w:p>
              </w:txbxContent>
            </v:textbox>
            <w10:wrap type="square"/>
          </v:shape>
        </w:pict>
      </w:r>
      <w:bookmarkStart w:id="0" w:name="_Toc362959007"/>
      <w:r>
        <w:t>V 2 – Blitze im Reagen</w:t>
      </w:r>
      <w:r>
        <w:t>z</w:t>
      </w:r>
      <w:r>
        <w:t>glas</w:t>
      </w:r>
      <w:bookmarkEnd w:id="0"/>
    </w:p>
    <w:p w:rsidR="00BB6801" w:rsidRDefault="00BB6801" w:rsidP="00BB680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B6801" w:rsidRPr="009C5E28" w:rsidTr="00CE48AB">
        <w:tc>
          <w:tcPr>
            <w:tcW w:w="9322" w:type="dxa"/>
            <w:gridSpan w:val="9"/>
            <w:shd w:val="clear" w:color="auto" w:fill="4F81BD"/>
            <w:vAlign w:val="center"/>
          </w:tcPr>
          <w:p w:rsidR="00BB6801" w:rsidRPr="009C5E28" w:rsidRDefault="00BB6801" w:rsidP="00CE48AB">
            <w:pPr>
              <w:spacing w:after="0"/>
              <w:jc w:val="center"/>
              <w:rPr>
                <w:b/>
                <w:bCs/>
              </w:rPr>
            </w:pPr>
            <w:r w:rsidRPr="009C5E28">
              <w:rPr>
                <w:b/>
                <w:bCs/>
              </w:rPr>
              <w:t>Gefahrenstoffe</w:t>
            </w:r>
          </w:p>
        </w:tc>
      </w:tr>
      <w:tr w:rsidR="00BB6801" w:rsidRPr="009C5E28"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B6801" w:rsidRPr="009C5E28" w:rsidRDefault="00BB6801" w:rsidP="00CE48AB">
            <w:pPr>
              <w:spacing w:after="0" w:line="276" w:lineRule="auto"/>
              <w:jc w:val="center"/>
              <w:rPr>
                <w:b/>
                <w:bCs/>
              </w:rPr>
            </w:pPr>
            <w:proofErr w:type="spellStart"/>
            <w:r>
              <w:rPr>
                <w:sz w:val="20"/>
              </w:rPr>
              <w:t>Propanol</w:t>
            </w:r>
            <w:proofErr w:type="spellEnd"/>
          </w:p>
        </w:tc>
        <w:tc>
          <w:tcPr>
            <w:tcW w:w="3177" w:type="dxa"/>
            <w:gridSpan w:val="3"/>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sidRPr="009C5E28">
              <w:rPr>
                <w:sz w:val="20"/>
              </w:rPr>
              <w:t xml:space="preserve">H: </w:t>
            </w:r>
            <w:r>
              <w:t>225, 318, 336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B6801" w:rsidRPr="009C5E28" w:rsidRDefault="00BB6801" w:rsidP="00CE48AB">
            <w:pPr>
              <w:spacing w:after="0" w:line="240" w:lineRule="auto"/>
              <w:jc w:val="center"/>
            </w:pPr>
            <w:r w:rsidRPr="009C5E28">
              <w:rPr>
                <w:sz w:val="20"/>
              </w:rPr>
              <w:t xml:space="preserve">P: </w:t>
            </w:r>
            <w:r>
              <w:t>210, 233, 305+351+338, 313, 280</w:t>
            </w:r>
          </w:p>
        </w:tc>
      </w:tr>
      <w:tr w:rsidR="00BB6801" w:rsidRPr="009C5E28" w:rsidTr="00CE48AB">
        <w:trPr>
          <w:trHeight w:val="434"/>
        </w:trPr>
        <w:tc>
          <w:tcPr>
            <w:tcW w:w="3027" w:type="dxa"/>
            <w:gridSpan w:val="3"/>
            <w:shd w:val="clear" w:color="auto" w:fill="auto"/>
            <w:vAlign w:val="center"/>
          </w:tcPr>
          <w:p w:rsidR="00BB6801" w:rsidRPr="009C5E28" w:rsidRDefault="00BB6801" w:rsidP="00CE48AB">
            <w:pPr>
              <w:spacing w:after="0" w:line="276" w:lineRule="auto"/>
              <w:jc w:val="center"/>
              <w:rPr>
                <w:bCs/>
                <w:sz w:val="20"/>
              </w:rPr>
            </w:pPr>
            <w:proofErr w:type="spellStart"/>
            <w:r>
              <w:rPr>
                <w:bCs/>
                <w:sz w:val="20"/>
              </w:rPr>
              <w:t>Konz</w:t>
            </w:r>
            <w:proofErr w:type="spellEnd"/>
            <w:r>
              <w:rPr>
                <w:bCs/>
                <w:sz w:val="20"/>
              </w:rPr>
              <w:t>. Schwefelsäure</w:t>
            </w:r>
          </w:p>
        </w:tc>
        <w:tc>
          <w:tcPr>
            <w:tcW w:w="3177" w:type="dxa"/>
            <w:gridSpan w:val="3"/>
            <w:shd w:val="clear" w:color="auto" w:fill="auto"/>
            <w:vAlign w:val="center"/>
          </w:tcPr>
          <w:p w:rsidR="00BB6801" w:rsidRPr="009C5E28" w:rsidRDefault="00BB6801" w:rsidP="00CE48AB">
            <w:pPr>
              <w:pStyle w:val="Beschriftung"/>
              <w:spacing w:after="0"/>
              <w:jc w:val="center"/>
              <w:rPr>
                <w:sz w:val="20"/>
              </w:rPr>
            </w:pPr>
            <w:r w:rsidRPr="009C5E28">
              <w:rPr>
                <w:sz w:val="20"/>
              </w:rPr>
              <w:t>H:</w:t>
            </w:r>
            <w:r>
              <w:rPr>
                <w:sz w:val="20"/>
              </w:rPr>
              <w:t xml:space="preserve"> 314, 290</w:t>
            </w:r>
          </w:p>
        </w:tc>
        <w:tc>
          <w:tcPr>
            <w:tcW w:w="3118" w:type="dxa"/>
            <w:gridSpan w:val="3"/>
            <w:shd w:val="clear" w:color="auto" w:fill="auto"/>
            <w:vAlign w:val="center"/>
          </w:tcPr>
          <w:p w:rsidR="00BB6801" w:rsidRPr="009C5E28" w:rsidRDefault="00BB6801" w:rsidP="00CE48AB">
            <w:pPr>
              <w:pStyle w:val="Beschriftung"/>
              <w:spacing w:after="0"/>
              <w:jc w:val="center"/>
              <w:rPr>
                <w:sz w:val="20"/>
              </w:rPr>
            </w:pPr>
            <w:r w:rsidRPr="009C5E28">
              <w:rPr>
                <w:sz w:val="20"/>
              </w:rPr>
              <w:t>P:</w:t>
            </w:r>
            <w:r>
              <w:rPr>
                <w:sz w:val="20"/>
              </w:rPr>
              <w:t xml:space="preserve"> 280, 301+330+331, 305+351+338, 309, 310</w:t>
            </w:r>
          </w:p>
        </w:tc>
      </w:tr>
      <w:tr w:rsidR="00BB6801" w:rsidRPr="009C5E28" w:rsidTr="00CE48AB">
        <w:trPr>
          <w:trHeight w:val="434"/>
        </w:trPr>
        <w:tc>
          <w:tcPr>
            <w:tcW w:w="3027" w:type="dxa"/>
            <w:gridSpan w:val="3"/>
            <w:shd w:val="clear" w:color="auto" w:fill="auto"/>
            <w:vAlign w:val="center"/>
          </w:tcPr>
          <w:p w:rsidR="00BB6801" w:rsidRDefault="00BB6801" w:rsidP="00CE48AB">
            <w:pPr>
              <w:spacing w:after="0" w:line="276" w:lineRule="auto"/>
              <w:jc w:val="center"/>
              <w:rPr>
                <w:bCs/>
                <w:sz w:val="20"/>
              </w:rPr>
            </w:pPr>
            <w:r>
              <w:rPr>
                <w:bCs/>
                <w:sz w:val="20"/>
              </w:rPr>
              <w:t>Kaliumpermanganat</w:t>
            </w:r>
          </w:p>
        </w:tc>
        <w:tc>
          <w:tcPr>
            <w:tcW w:w="3177" w:type="dxa"/>
            <w:gridSpan w:val="3"/>
            <w:shd w:val="clear" w:color="auto" w:fill="auto"/>
            <w:vAlign w:val="center"/>
          </w:tcPr>
          <w:p w:rsidR="00BB6801" w:rsidRPr="009C5E28" w:rsidRDefault="00BB6801" w:rsidP="00CE48AB">
            <w:pPr>
              <w:pStyle w:val="Beschriftung"/>
              <w:spacing w:after="0"/>
              <w:jc w:val="center"/>
              <w:rPr>
                <w:sz w:val="20"/>
              </w:rPr>
            </w:pPr>
            <w:r>
              <w:rPr>
                <w:sz w:val="20"/>
              </w:rPr>
              <w:t>H: 272, 302, 410</w:t>
            </w:r>
          </w:p>
        </w:tc>
        <w:tc>
          <w:tcPr>
            <w:tcW w:w="3118" w:type="dxa"/>
            <w:gridSpan w:val="3"/>
            <w:shd w:val="clear" w:color="auto" w:fill="auto"/>
            <w:vAlign w:val="center"/>
          </w:tcPr>
          <w:p w:rsidR="00BB6801" w:rsidRPr="009C5E28" w:rsidRDefault="00BB6801" w:rsidP="00CE48AB">
            <w:pPr>
              <w:pStyle w:val="Beschriftung"/>
              <w:spacing w:after="0"/>
              <w:jc w:val="center"/>
              <w:rPr>
                <w:sz w:val="20"/>
              </w:rPr>
            </w:pPr>
            <w:r>
              <w:rPr>
                <w:sz w:val="20"/>
              </w:rPr>
              <w:t>P: 210, 273</w:t>
            </w:r>
          </w:p>
        </w:tc>
      </w:tr>
      <w:tr w:rsidR="00BB6801" w:rsidRPr="009C5E28" w:rsidTr="00CE48AB">
        <w:tc>
          <w:tcPr>
            <w:tcW w:w="1009" w:type="dxa"/>
            <w:tcBorders>
              <w:top w:val="single" w:sz="8" w:space="0" w:color="4F81BD"/>
              <w:left w:val="single" w:sz="8" w:space="0" w:color="4F81BD"/>
              <w:bottom w:val="single" w:sz="8" w:space="0" w:color="4F81BD"/>
            </w:tcBorders>
            <w:shd w:val="clear" w:color="auto" w:fill="auto"/>
            <w:vAlign w:val="center"/>
          </w:tcPr>
          <w:p w:rsidR="00BB6801" w:rsidRPr="009C5E28" w:rsidRDefault="00BB6801" w:rsidP="00CE48AB">
            <w:pPr>
              <w:spacing w:after="0"/>
              <w:jc w:val="center"/>
              <w:rPr>
                <w:b/>
                <w:bCs/>
              </w:rPr>
            </w:pPr>
            <w:r>
              <w:rPr>
                <w:b/>
                <w:noProof/>
                <w:lang w:eastAsia="de-DE"/>
              </w:rPr>
              <w:drawing>
                <wp:inline distT="0" distB="0" distL="0" distR="0">
                  <wp:extent cx="504190" cy="504190"/>
                  <wp:effectExtent l="0" t="0" r="0" b="0"/>
                  <wp:docPr id="4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499730" cy="499730"/>
                  <wp:effectExtent l="19050" t="0" r="0" b="0"/>
                  <wp:docPr id="56" name="Bild 24" descr="C:\Users\Anne\AppData\Local\Temp\Rar$DI09.276\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e\AppData\Local\Temp\Rar$DI09.276\Brandfördernd.png"/>
                          <pic:cNvPicPr>
                            <a:picLocks noChangeAspect="1" noChangeArrowheads="1"/>
                          </pic:cNvPicPr>
                        </pic:nvPicPr>
                        <pic:blipFill>
                          <a:blip r:embed="rId9"/>
                          <a:srcRect/>
                          <a:stretch>
                            <a:fillRect/>
                          </a:stretch>
                        </pic:blipFill>
                        <pic:spPr bwMode="auto">
                          <a:xfrm>
                            <a:off x="0" y="0"/>
                            <a:ext cx="499695" cy="49969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30358" cy="530358"/>
                  <wp:effectExtent l="0" t="0" r="3042" b="0"/>
                  <wp:docPr id="57" name="Bild 25" descr="C:\Users\Anne\AppData\Local\Temp\Rar$DI12.28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e\AppData\Local\Temp\Rar$DI12.286\Brennbar.png"/>
                          <pic:cNvPicPr>
                            <a:picLocks noChangeAspect="1" noChangeArrowheads="1"/>
                          </pic:cNvPicPr>
                        </pic:nvPicPr>
                        <pic:blipFill>
                          <a:blip r:embed="rId10"/>
                          <a:srcRect/>
                          <a:stretch>
                            <a:fillRect/>
                          </a:stretch>
                        </pic:blipFill>
                        <pic:spPr bwMode="auto">
                          <a:xfrm>
                            <a:off x="0" y="0"/>
                            <a:ext cx="531591" cy="531591"/>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04190" cy="504190"/>
                  <wp:effectExtent l="0" t="0" r="0" b="0"/>
                  <wp:docPr id="4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04190" cy="504190"/>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04190" cy="504190"/>
                  <wp:effectExtent l="0" t="0" r="0" b="0"/>
                  <wp:docPr id="4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04190" cy="504190"/>
                  <wp:effectExtent l="0" t="0" r="0" b="0"/>
                  <wp:docPr id="4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511175" cy="511175"/>
                  <wp:effectExtent l="0" t="0" r="0" b="0"/>
                  <wp:docPr id="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B6801" w:rsidRPr="009C5E28" w:rsidRDefault="00BB6801" w:rsidP="00CE48AB">
            <w:pPr>
              <w:spacing w:after="0"/>
              <w:jc w:val="center"/>
            </w:pPr>
            <w:r>
              <w:rPr>
                <w:noProof/>
                <w:lang w:eastAsia="de-DE"/>
              </w:rPr>
              <w:drawing>
                <wp:inline distT="0" distB="0" distL="0" distR="0">
                  <wp:extent cx="489098" cy="489098"/>
                  <wp:effectExtent l="19050" t="0" r="6202" b="0"/>
                  <wp:docPr id="58" name="Bild 26"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ne\AppData\Local\Temp\Rar$DI15.338\Umweltgefahr.png"/>
                          <pic:cNvPicPr>
                            <a:picLocks noChangeAspect="1" noChangeArrowheads="1"/>
                          </pic:cNvPicPr>
                        </pic:nvPicPr>
                        <pic:blipFill>
                          <a:blip r:embed="rId16"/>
                          <a:srcRect/>
                          <a:stretch>
                            <a:fillRect/>
                          </a:stretch>
                        </pic:blipFill>
                        <pic:spPr bwMode="auto">
                          <a:xfrm>
                            <a:off x="0" y="0"/>
                            <a:ext cx="495814" cy="495814"/>
                          </a:xfrm>
                          <a:prstGeom prst="rect">
                            <a:avLst/>
                          </a:prstGeom>
                          <a:noFill/>
                          <a:ln w="9525">
                            <a:noFill/>
                            <a:miter lim="800000"/>
                            <a:headEnd/>
                            <a:tailEnd/>
                          </a:ln>
                        </pic:spPr>
                      </pic:pic>
                    </a:graphicData>
                  </a:graphic>
                </wp:inline>
              </w:drawing>
            </w:r>
          </w:p>
        </w:tc>
      </w:tr>
    </w:tbl>
    <w:p w:rsidR="00BB6801" w:rsidRDefault="00BB6801" w:rsidP="00BB6801">
      <w:pPr>
        <w:tabs>
          <w:tab w:val="left" w:pos="1701"/>
          <w:tab w:val="left" w:pos="1985"/>
        </w:tabs>
        <w:ind w:left="1980" w:hanging="1980"/>
      </w:pPr>
    </w:p>
    <w:p w:rsidR="00BB6801" w:rsidRDefault="00BB6801" w:rsidP="00BB6801">
      <w:pPr>
        <w:tabs>
          <w:tab w:val="left" w:pos="1701"/>
          <w:tab w:val="left" w:pos="1985"/>
        </w:tabs>
        <w:ind w:left="1980" w:hanging="1980"/>
      </w:pPr>
      <w:r>
        <w:t xml:space="preserve">Materialien: </w:t>
      </w:r>
      <w:r>
        <w:tab/>
      </w:r>
      <w:r>
        <w:tab/>
      </w:r>
      <w:r>
        <w:tab/>
      </w:r>
      <w:r>
        <w:tab/>
        <w:t>Reagenzglas, Stativ</w:t>
      </w:r>
    </w:p>
    <w:p w:rsidR="00BB6801" w:rsidRPr="00ED07C2" w:rsidRDefault="00BB6801" w:rsidP="00BB6801">
      <w:pPr>
        <w:tabs>
          <w:tab w:val="left" w:pos="1701"/>
          <w:tab w:val="left" w:pos="1985"/>
        </w:tabs>
        <w:ind w:left="1980" w:hanging="1980"/>
      </w:pPr>
      <w:r>
        <w:t>Chemikalien:</w:t>
      </w:r>
      <w:r>
        <w:tab/>
      </w:r>
      <w:r>
        <w:tab/>
      </w:r>
      <w:r>
        <w:tab/>
      </w:r>
      <w:r>
        <w:tab/>
      </w:r>
      <w:proofErr w:type="spellStart"/>
      <w:r>
        <w:t>Propanol</w:t>
      </w:r>
      <w:proofErr w:type="spellEnd"/>
      <w:r>
        <w:t xml:space="preserve">, </w:t>
      </w:r>
      <w:proofErr w:type="spellStart"/>
      <w:r>
        <w:t>konz</w:t>
      </w:r>
      <w:proofErr w:type="spellEnd"/>
      <w:r>
        <w:t>. Schwefelsäure, Kaliumpermanganat</w:t>
      </w:r>
    </w:p>
    <w:p w:rsidR="00BB6801" w:rsidRDefault="00BB6801" w:rsidP="00BB6801">
      <w:pPr>
        <w:ind w:left="2124" w:hanging="2124"/>
      </w:pPr>
      <w:r>
        <w:t xml:space="preserve">Durchführung: </w:t>
      </w:r>
      <w:r>
        <w:tab/>
        <w:t xml:space="preserve">In einem RG werden 5 </w:t>
      </w:r>
      <w:proofErr w:type="spellStart"/>
      <w:r>
        <w:t>mL</w:t>
      </w:r>
      <w:proofErr w:type="spellEnd"/>
      <w:r>
        <w:t xml:space="preserve"> </w:t>
      </w:r>
      <w:proofErr w:type="spellStart"/>
      <w:r>
        <w:t>Propanol</w:t>
      </w:r>
      <w:proofErr w:type="spellEnd"/>
      <w:r>
        <w:t xml:space="preserve"> mit 5 </w:t>
      </w:r>
      <w:proofErr w:type="spellStart"/>
      <w:r>
        <w:t>mL</w:t>
      </w:r>
      <w:proofErr w:type="spellEnd"/>
      <w:r>
        <w:t xml:space="preserve"> </w:t>
      </w:r>
      <w:proofErr w:type="spellStart"/>
      <w:r>
        <w:t>konz</w:t>
      </w:r>
      <w:proofErr w:type="spellEnd"/>
      <w:r>
        <w:t>. Schwefelsäure unte</w:t>
      </w:r>
      <w:r>
        <w:t>r</w:t>
      </w:r>
      <w:r>
        <w:t>schichtet. Das RG wird an einem Stativ befestigt und in einen dunklen Raum gestellt. Danach wird ein wenig Kaliumpermanganat hinzugeg</w:t>
      </w:r>
      <w:r>
        <w:t>e</w:t>
      </w:r>
      <w:r>
        <w:t>ben. Zum Abbrechen der Reaktion wird die Lösung in ein mit Wasser g</w:t>
      </w:r>
      <w:r>
        <w:t>e</w:t>
      </w:r>
      <w:r>
        <w:t>fülltes Becherglas gegeben.</w:t>
      </w:r>
    </w:p>
    <w:p w:rsidR="00BB6801" w:rsidRDefault="00BB6801" w:rsidP="00BB6801">
      <w:pPr>
        <w:ind w:left="2124" w:hanging="2124"/>
      </w:pPr>
      <w:r>
        <w:t>Beobachtung:</w:t>
      </w:r>
      <w:r>
        <w:tab/>
        <w:t xml:space="preserve">Die </w:t>
      </w:r>
      <w:proofErr w:type="spellStart"/>
      <w:r>
        <w:t>Kaliumpermanganatkristalle</w:t>
      </w:r>
      <w:proofErr w:type="spellEnd"/>
      <w:r>
        <w:t xml:space="preserve"> sinken zur Phasengrenze zwischen </w:t>
      </w:r>
      <w:proofErr w:type="spellStart"/>
      <w:r>
        <w:t>Propanol</w:t>
      </w:r>
      <w:proofErr w:type="spellEnd"/>
      <w:r>
        <w:t xml:space="preserve"> und Schwefelsäure und es setzt eine Gasentwicklung ein. Nach einiger Zeit ist in der unteren Phase eine Farbveränderung von farblos nach violett zu beobachten und an der Phasengrenze sind kleine Lich</w:t>
      </w:r>
      <w:r>
        <w:t>t</w:t>
      </w:r>
      <w:r>
        <w:t>blitze zu sehen. Die Lösung wird warm. Nach einiger Zeit bildet sich an der Schichtgrenze ein brauner Feststoff.</w:t>
      </w:r>
    </w:p>
    <w:p w:rsidR="00BB6801" w:rsidRDefault="00BB6801" w:rsidP="00BB6801">
      <w:pPr>
        <w:tabs>
          <w:tab w:val="left" w:pos="1701"/>
          <w:tab w:val="left" w:pos="1985"/>
        </w:tabs>
        <w:ind w:left="1980" w:hanging="1980"/>
        <w:jc w:val="center"/>
      </w:pPr>
      <w:r>
        <w:rPr>
          <w:noProof/>
          <w:lang w:eastAsia="de-DE"/>
        </w:rPr>
        <w:lastRenderedPageBreak/>
        <w:drawing>
          <wp:inline distT="0" distB="0" distL="0" distR="0">
            <wp:extent cx="1205901" cy="2468684"/>
            <wp:effectExtent l="19050" t="0" r="0" b="0"/>
            <wp:docPr id="78"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l="40862" t="24940" r="46161" b="23022"/>
                    <a:stretch>
                      <a:fillRect/>
                    </a:stretch>
                  </pic:blipFill>
                  <pic:spPr bwMode="auto">
                    <a:xfrm>
                      <a:off x="0" y="0"/>
                      <a:ext cx="1208276" cy="2473545"/>
                    </a:xfrm>
                    <a:prstGeom prst="rect">
                      <a:avLst/>
                    </a:prstGeom>
                    <a:noFill/>
                    <a:ln w="9525">
                      <a:noFill/>
                      <a:miter lim="800000"/>
                      <a:headEnd/>
                      <a:tailEnd/>
                    </a:ln>
                  </pic:spPr>
                </pic:pic>
              </a:graphicData>
            </a:graphic>
          </wp:inline>
        </w:drawing>
      </w:r>
      <w:r>
        <w:rPr>
          <w:noProof/>
          <w:lang w:eastAsia="de-DE"/>
        </w:rPr>
        <w:drawing>
          <wp:inline distT="0" distB="0" distL="0" distR="0">
            <wp:extent cx="1192359" cy="2464207"/>
            <wp:effectExtent l="19050" t="0" r="7791" b="0"/>
            <wp:docPr id="7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l="40669" t="25174" r="45996" b="22808"/>
                    <a:stretch>
                      <a:fillRect/>
                    </a:stretch>
                  </pic:blipFill>
                  <pic:spPr bwMode="auto">
                    <a:xfrm>
                      <a:off x="0" y="0"/>
                      <a:ext cx="1194239" cy="2468093"/>
                    </a:xfrm>
                    <a:prstGeom prst="rect">
                      <a:avLst/>
                    </a:prstGeom>
                    <a:noFill/>
                    <a:ln w="9525">
                      <a:noFill/>
                      <a:miter lim="800000"/>
                      <a:headEnd/>
                      <a:tailEnd/>
                    </a:ln>
                  </pic:spPr>
                </pic:pic>
              </a:graphicData>
            </a:graphic>
          </wp:inline>
        </w:drawing>
      </w:r>
      <w:r>
        <w:rPr>
          <w:noProof/>
          <w:lang w:eastAsia="de-DE"/>
        </w:rPr>
        <w:drawing>
          <wp:inline distT="0" distB="0" distL="0" distR="0">
            <wp:extent cx="1191415" cy="2467154"/>
            <wp:effectExtent l="19050" t="0" r="8735" b="0"/>
            <wp:docPr id="8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l="41599" t="11620" r="42708" b="41239"/>
                    <a:stretch>
                      <a:fillRect/>
                    </a:stretch>
                  </pic:blipFill>
                  <pic:spPr bwMode="auto">
                    <a:xfrm>
                      <a:off x="0" y="0"/>
                      <a:ext cx="1191415" cy="2467154"/>
                    </a:xfrm>
                    <a:prstGeom prst="rect">
                      <a:avLst/>
                    </a:prstGeom>
                    <a:noFill/>
                    <a:ln w="9525">
                      <a:noFill/>
                      <a:miter lim="800000"/>
                      <a:headEnd/>
                      <a:tailEnd/>
                    </a:ln>
                  </pic:spPr>
                </pic:pic>
              </a:graphicData>
            </a:graphic>
          </wp:inline>
        </w:drawing>
      </w:r>
    </w:p>
    <w:p w:rsidR="00BB6801" w:rsidRDefault="00BB6801" w:rsidP="00BB6801">
      <w:pPr>
        <w:pStyle w:val="Beschriftung"/>
        <w:jc w:val="left"/>
      </w:pPr>
      <w:r>
        <w:t xml:space="preserve">Abb. 2 - </w:t>
      </w:r>
      <w:r>
        <w:rPr>
          <w:noProof/>
        </w:rPr>
        <w:t xml:space="preserve"> Reaktion von Kaliumpermanganat mit konz. Schwefelsäure und Propanol im zeitlichen Verlauf (von links nach rechts).</w:t>
      </w:r>
    </w:p>
    <w:p w:rsidR="00BB6801" w:rsidRDefault="00BB6801" w:rsidP="00BB6801">
      <w:pPr>
        <w:tabs>
          <w:tab w:val="left" w:pos="1701"/>
          <w:tab w:val="left" w:pos="1985"/>
        </w:tabs>
        <w:ind w:left="2124" w:hanging="2124"/>
      </w:pPr>
      <w:r>
        <w:t>Deutung:</w:t>
      </w:r>
      <w:r>
        <w:tab/>
      </w:r>
      <w:r>
        <w:tab/>
      </w:r>
      <w:r>
        <w:tab/>
        <w:t xml:space="preserve">Bei der Reaktion des Permanganats mit Schwefelsäure entsteht </w:t>
      </w:r>
      <w:proofErr w:type="spellStart"/>
      <w:r>
        <w:t>Manganheptoxid</w:t>
      </w:r>
      <w:proofErr w:type="spellEnd"/>
      <w:r>
        <w:t>, welches, wenn es in Kontakt mit Alkohol kommt, expl</w:t>
      </w:r>
      <w:r>
        <w:t>o</w:t>
      </w:r>
      <w:r>
        <w:t>sionsartig in einer exothermen Reaktion zu Braunstein und Sauerstoff zerfällt.</w:t>
      </w:r>
    </w:p>
    <w:p w:rsidR="00BB6801" w:rsidRPr="00FE2BF9" w:rsidRDefault="00BB6801" w:rsidP="00BB6801">
      <w:pPr>
        <w:tabs>
          <w:tab w:val="left" w:pos="1701"/>
          <w:tab w:val="left" w:pos="1985"/>
        </w:tabs>
        <w:ind w:left="2124" w:hanging="2124"/>
        <w:rPr>
          <w:vertAlign w:val="subscript"/>
          <w:lang w:val="en-US"/>
        </w:rPr>
      </w:pPr>
      <w:r>
        <w:tab/>
      </w:r>
      <w:r>
        <w:tab/>
      </w:r>
      <w:r>
        <w:tab/>
      </w:r>
      <w:r w:rsidRPr="00FE2BF9">
        <w:rPr>
          <w:lang w:val="en-US"/>
        </w:rPr>
        <w:t>2 Mn</w:t>
      </w:r>
      <w:r w:rsidRPr="00FE2BF9">
        <w:rPr>
          <w:vertAlign w:val="subscript"/>
          <w:lang w:val="en-US"/>
        </w:rPr>
        <w:t>2</w:t>
      </w:r>
      <w:r w:rsidRPr="00FE2BF9">
        <w:rPr>
          <w:lang w:val="en-US"/>
        </w:rPr>
        <w:t>O</w:t>
      </w:r>
      <w:r w:rsidRPr="00FE2BF9">
        <w:rPr>
          <w:vertAlign w:val="subscript"/>
          <w:lang w:val="en-US"/>
        </w:rPr>
        <w:t>7 (l)</w:t>
      </w:r>
      <w:r w:rsidRPr="00FE2BF9">
        <w:rPr>
          <w:lang w:val="en-US"/>
        </w:rPr>
        <w:t xml:space="preserve"> </w:t>
      </w:r>
      <w:r>
        <w:sym w:font="Wingdings" w:char="F0E0"/>
      </w:r>
      <w:r w:rsidRPr="00FE2BF9">
        <w:rPr>
          <w:lang w:val="en-US"/>
        </w:rPr>
        <w:t xml:space="preserve"> 4 MnO</w:t>
      </w:r>
      <w:r w:rsidRPr="00FE2BF9">
        <w:rPr>
          <w:vertAlign w:val="subscript"/>
          <w:lang w:val="en-US"/>
        </w:rPr>
        <w:t>2 (s)</w:t>
      </w:r>
      <w:r w:rsidRPr="00FE2BF9">
        <w:rPr>
          <w:lang w:val="en-US"/>
        </w:rPr>
        <w:t xml:space="preserve"> +3 O</w:t>
      </w:r>
      <w:r w:rsidRPr="00FE2BF9">
        <w:rPr>
          <w:vertAlign w:val="subscript"/>
          <w:lang w:val="en-US"/>
        </w:rPr>
        <w:t>2 (g</w:t>
      </w:r>
      <w:r>
        <w:rPr>
          <w:vertAlign w:val="subscript"/>
          <w:lang w:val="en-US"/>
        </w:rPr>
        <w:t>)</w:t>
      </w:r>
    </w:p>
    <w:p w:rsidR="00BB6801" w:rsidRDefault="00BB6801" w:rsidP="00BB6801">
      <w:pPr>
        <w:tabs>
          <w:tab w:val="left" w:pos="1701"/>
          <w:tab w:val="left" w:pos="1985"/>
        </w:tabs>
        <w:ind w:left="1980" w:hanging="1980"/>
        <w:rPr>
          <w:rFonts w:eastAsiaTheme="minorEastAsia"/>
        </w:rPr>
      </w:pPr>
      <w:r>
        <w:t xml:space="preserve">Entsorgung: </w:t>
      </w:r>
      <w:r>
        <w:tab/>
      </w:r>
      <w:r>
        <w:tab/>
      </w:r>
      <w:r>
        <w:tab/>
      </w:r>
      <w:r>
        <w:tab/>
        <w:t>Die Lösungen sind im Säure-Base-Behälter zu entsorgen.</w:t>
      </w:r>
    </w:p>
    <w:p w:rsidR="00BB6801" w:rsidRDefault="00BB6801" w:rsidP="00BB6801">
      <w:pPr>
        <w:ind w:left="2124" w:hanging="2124"/>
      </w:pPr>
      <w:r>
        <w:t>Literatur:</w:t>
      </w:r>
      <w:r>
        <w:tab/>
        <w:t xml:space="preserve">H. Schmidtkunz, W. </w:t>
      </w:r>
      <w:proofErr w:type="spellStart"/>
      <w:r>
        <w:t>Rentzsch</w:t>
      </w:r>
      <w:proofErr w:type="spellEnd"/>
      <w:r>
        <w:t>, Chemische Freihandversuche, kleine Ve</w:t>
      </w:r>
      <w:r>
        <w:t>r</w:t>
      </w:r>
      <w:r>
        <w:t xml:space="preserve">suche mit großer Wirkung, Band 1, </w:t>
      </w:r>
      <w:proofErr w:type="spellStart"/>
      <w:r>
        <w:t>Aulis</w:t>
      </w:r>
      <w:proofErr w:type="spellEnd"/>
      <w:r>
        <w:t xml:space="preserve"> Verlag (2011), S. 65</w:t>
      </w:r>
    </w:p>
    <w:p w:rsidR="00BB6801" w:rsidRPr="006E32AF" w:rsidRDefault="00BB6801" w:rsidP="00BB6801">
      <w:pPr>
        <w:tabs>
          <w:tab w:val="left" w:pos="1701"/>
          <w:tab w:val="left" w:pos="1985"/>
        </w:tabs>
        <w:ind w:left="1980" w:hanging="1980"/>
        <w:rPr>
          <w:rFonts w:eastAsiaTheme="minorEastAsia"/>
        </w:rPr>
      </w:pPr>
      <w:r w:rsidRPr="00531A2C">
        <w:rPr>
          <w:rFonts w:eastAsiaTheme="minorHAnsi"/>
        </w:rPr>
      </w:r>
      <w:r w:rsidRPr="00531A2C">
        <w:rPr>
          <w:rFonts w:eastAsiaTheme="minorHAnsi"/>
        </w:rPr>
        <w:pict>
          <v:shape id="_x0000_s1031" type="#_x0000_t202" style="width:462.45pt;height:99.25pt;mso-position-horizontal-relative:char;mso-position-vertical-relative:line;mso-width-relative:margin;mso-height-relative:margin" fillcolor="white [3201]" strokecolor="#c0504d [3205]" strokeweight="1pt">
            <v:stroke dashstyle="dash"/>
            <v:shadow color="#868686"/>
            <v:textbox style="mso-next-textbox:#_x0000_s1031">
              <w:txbxContent>
                <w:p w:rsidR="00BB6801" w:rsidRPr="007E0A5B" w:rsidRDefault="00BB6801" w:rsidP="00BB6801">
                  <w:pPr>
                    <w:rPr>
                      <w:color w:val="auto"/>
                    </w:rPr>
                  </w:pPr>
                  <w:r w:rsidRPr="007E0A5B">
                    <w:rPr>
                      <w:b/>
                      <w:color w:val="auto"/>
                    </w:rPr>
                    <w:t xml:space="preserve">Unterrichtsanschlüsse </w:t>
                  </w:r>
                  <w:r w:rsidRPr="007E0A5B">
                    <w:rPr>
                      <w:color w:val="auto"/>
                    </w:rPr>
                    <w:t>Der Versuch kann als eindrucksvoller Einstieg in die Energetik chem</w:t>
                  </w:r>
                  <w:r w:rsidRPr="007E0A5B">
                    <w:rPr>
                      <w:color w:val="auto"/>
                    </w:rPr>
                    <w:t>i</w:t>
                  </w:r>
                  <w:r w:rsidRPr="007E0A5B">
                    <w:rPr>
                      <w:color w:val="auto"/>
                    </w:rPr>
                    <w:t>scher Reaktionen verwendet werden. Es ist bei der Demonstration jedoch zu beachten, dass es einige Zeit dauert, bis die Lichtblitze auftreten und dass nicht zu viel Kaliumpermanganat ei</w:t>
                  </w:r>
                  <w:r w:rsidRPr="007E0A5B">
                    <w:rPr>
                      <w:color w:val="auto"/>
                    </w:rPr>
                    <w:t>n</w:t>
                  </w:r>
                  <w:r w:rsidRPr="007E0A5B">
                    <w:rPr>
                      <w:color w:val="auto"/>
                    </w:rPr>
                    <w:t>gesetzt wird. Alternativ kann auch das Gummibärchen in der Hölle vorgeführt werden (siehe V 3).</w:t>
                  </w:r>
                </w:p>
              </w:txbxContent>
            </v:textbox>
            <w10:wrap type="none"/>
            <w10:anchorlock/>
          </v:shape>
        </w:pict>
      </w:r>
    </w:p>
    <w:p w:rsidR="00BE6DD9" w:rsidRPr="001B1A06" w:rsidRDefault="00BE6DD9" w:rsidP="001B1A06"/>
    <w:sectPr w:rsidR="00BE6DD9" w:rsidRPr="001B1A06" w:rsidSect="00105256">
      <w:headerReference w:type="default" r:id="rId20"/>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8DA" w:rsidRDefault="001A68DA" w:rsidP="009524CC">
      <w:pPr>
        <w:spacing w:after="0"/>
      </w:pPr>
      <w:r>
        <w:separator/>
      </w:r>
    </w:p>
  </w:endnote>
  <w:endnote w:type="continuationSeparator" w:id="0">
    <w:p w:rsidR="001A68DA" w:rsidRDefault="001A68DA"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8DA" w:rsidRDefault="001A68DA" w:rsidP="009524CC">
      <w:pPr>
        <w:spacing w:after="0"/>
      </w:pPr>
      <w:r>
        <w:separator/>
      </w:r>
    </w:p>
  </w:footnote>
  <w:footnote w:type="continuationSeparator" w:id="0">
    <w:p w:rsidR="001A68DA" w:rsidRDefault="001A68DA"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DB5D03" w:rsidP="00BD7F16">
          <w:pPr>
            <w:pStyle w:val="Kopfzeile"/>
            <w:tabs>
              <w:tab w:val="clear" w:pos="4680"/>
              <w:tab w:val="left" w:pos="0"/>
              <w:tab w:val="center" w:pos="284"/>
              <w:tab w:val="left" w:pos="8789"/>
            </w:tabs>
            <w:rPr>
              <w:sz w:val="20"/>
              <w:szCs w:val="20"/>
            </w:rPr>
          </w:pPr>
          <w:fldSimple w:instr=" STYLEREF  &quot;Überschrift 1&quot;  \* MERGEFORMAT ">
            <w:r w:rsidR="00BB6801" w:rsidRPr="00BB6801">
              <w:rPr>
                <w:b/>
                <w:bCs/>
                <w:noProof/>
                <w:sz w:val="20"/>
                <w:szCs w:val="20"/>
              </w:rPr>
              <w:t>V 2 – Blitze im Reagenzglas</w:t>
            </w:r>
          </w:fldSimple>
        </w:p>
      </w:tc>
      <w:tc>
        <w:tcPr>
          <w:tcW w:w="695" w:type="dxa"/>
          <w:tcBorders>
            <w:bottom w:val="single" w:sz="4" w:space="0" w:color="auto"/>
          </w:tcBorders>
          <w:shd w:val="clear" w:color="auto" w:fill="auto"/>
        </w:tcPr>
        <w:p w:rsidR="00501F12" w:rsidRPr="00BD7F16" w:rsidRDefault="00DB5D03"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BB6801">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68DA"/>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5B71"/>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B6801"/>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5D03"/>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D4DB-9B99-4ED4-84F5-EE3B89C6B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1460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2013-08-11T20:41:00Z</dcterms:created>
  <dcterms:modified xsi:type="dcterms:W3CDTF">2013-08-11T20:41:00Z</dcterms:modified>
</cp:coreProperties>
</file>