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A4" w:rsidRDefault="002A64A4" w:rsidP="002A64A4">
      <w:pPr>
        <w:tabs>
          <w:tab w:val="left" w:pos="1701"/>
          <w:tab w:val="left" w:pos="1985"/>
        </w:tabs>
        <w:rPr>
          <w:b/>
          <w:sz w:val="28"/>
        </w:rPr>
      </w:pPr>
      <w:r>
        <w:rPr>
          <w:b/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35560</wp:posOffset>
            </wp:positionV>
            <wp:extent cx="1950720" cy="2434590"/>
            <wp:effectExtent l="19050" t="0" r="0" b="0"/>
            <wp:wrapSquare wrapText="bothSides"/>
            <wp:docPr id="194" name="Bild 15" descr="F:\DCIM\100CANON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CANON\IMG_12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 contrast="10000"/>
                    </a:blip>
                    <a:srcRect l="4275" t="9623" r="1659" b="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Arbeitsblatt – Der Taschenwärmer</w:t>
      </w:r>
    </w:p>
    <w:p w:rsidR="002A64A4" w:rsidRDefault="002A64A4" w:rsidP="002A64A4">
      <w:pPr>
        <w:rPr>
          <w:color w:val="auto"/>
        </w:rPr>
      </w:pPr>
      <w:r>
        <w:rPr>
          <w:color w:val="auto"/>
        </w:rPr>
        <w:t>Wer kennt das nicht, im Winter frieren häufig die Hände. Dagegen hilft ein Taschenwärmer – einfach das Metallplät</w:t>
      </w:r>
      <w:r>
        <w:rPr>
          <w:color w:val="auto"/>
        </w:rPr>
        <w:t>t</w:t>
      </w:r>
      <w:r>
        <w:rPr>
          <w:color w:val="auto"/>
        </w:rPr>
        <w:t>chen in der milchigen Lösung knicken und schon heizt er sich auf. Doch wie funktioniert ein Taschenwärmer?</w:t>
      </w:r>
    </w:p>
    <w:p w:rsidR="002A64A4" w:rsidRDefault="002A64A4" w:rsidP="002A64A4">
      <w:pPr>
        <w:rPr>
          <w:color w:val="auto"/>
        </w:rPr>
      </w:pPr>
    </w:p>
    <w:p w:rsidR="002A64A4" w:rsidRDefault="002A64A4" w:rsidP="002A64A4">
      <w:pPr>
        <w:spacing w:after="0"/>
        <w:rPr>
          <w:color w:val="auto"/>
        </w:rPr>
      </w:pPr>
      <w:r w:rsidRPr="00576431">
        <w:rPr>
          <w:b/>
          <w:color w:val="auto"/>
        </w:rPr>
        <w:t>Chemikalien</w:t>
      </w:r>
      <w:r>
        <w:rPr>
          <w:color w:val="auto"/>
        </w:rPr>
        <w:t>: Natriumacetat-</w:t>
      </w:r>
      <w:proofErr w:type="spellStart"/>
      <w:r>
        <w:rPr>
          <w:color w:val="auto"/>
        </w:rPr>
        <w:t>trihydrat</w:t>
      </w:r>
      <w:proofErr w:type="spellEnd"/>
      <w:r>
        <w:rPr>
          <w:color w:val="auto"/>
        </w:rPr>
        <w:t>, destilliertes Wasser</w:t>
      </w:r>
    </w:p>
    <w:p w:rsidR="002A64A4" w:rsidRDefault="002A64A4" w:rsidP="002A64A4">
      <w:pPr>
        <w:spacing w:after="0"/>
        <w:rPr>
          <w:color w:val="auto"/>
        </w:rPr>
      </w:pPr>
      <w:r w:rsidRPr="00576431">
        <w:rPr>
          <w:b/>
          <w:color w:val="auto"/>
        </w:rPr>
        <w:t>Geräte</w:t>
      </w:r>
      <w:r>
        <w:rPr>
          <w:color w:val="auto"/>
        </w:rPr>
        <w:t xml:space="preserve">: Becherglas (250 </w:t>
      </w:r>
      <w:proofErr w:type="spellStart"/>
      <w:r>
        <w:rPr>
          <w:color w:val="auto"/>
        </w:rPr>
        <w:t>mL</w:t>
      </w:r>
      <w:proofErr w:type="spellEnd"/>
      <w:r>
        <w:rPr>
          <w:color w:val="auto"/>
        </w:rPr>
        <w:t>), Magnetrührer, Thermometer</w:t>
      </w:r>
    </w:p>
    <w:p w:rsidR="002A64A4" w:rsidRPr="00576431" w:rsidRDefault="002A64A4" w:rsidP="002A64A4">
      <w:pPr>
        <w:pStyle w:val="berschrift2"/>
        <w:numPr>
          <w:ilvl w:val="0"/>
          <w:numId w:val="0"/>
        </w:numPr>
        <w:ind w:left="576" w:hanging="576"/>
      </w:pPr>
      <w:bookmarkStart w:id="0" w:name="_Toc362959014"/>
      <w:r w:rsidRPr="00576431">
        <w:t>Durchführung:</w:t>
      </w:r>
      <w:bookmarkEnd w:id="0"/>
      <w:r w:rsidRPr="00576431">
        <w:t xml:space="preserve"> </w:t>
      </w:r>
    </w:p>
    <w:p w:rsidR="002A64A4" w:rsidRDefault="002A64A4" w:rsidP="002A64A4">
      <w:pPr>
        <w:rPr>
          <w:color w:val="auto"/>
        </w:rPr>
      </w:pPr>
      <w:r>
        <w:rPr>
          <w:color w:val="auto"/>
        </w:rPr>
        <w:t>Gib 20 g des Natriumacetat-</w:t>
      </w:r>
      <w:proofErr w:type="spellStart"/>
      <w:r>
        <w:rPr>
          <w:color w:val="auto"/>
        </w:rPr>
        <w:t>trihydrats</w:t>
      </w:r>
      <w:proofErr w:type="spellEnd"/>
      <w:r>
        <w:rPr>
          <w:color w:val="auto"/>
        </w:rPr>
        <w:t xml:space="preserve"> in ein Becherglas und versetzte den Feststoff mit 2 </w:t>
      </w:r>
      <w:proofErr w:type="spellStart"/>
      <w:r>
        <w:rPr>
          <w:color w:val="auto"/>
        </w:rPr>
        <w:t>mL</w:t>
      </w:r>
      <w:proofErr w:type="spellEnd"/>
      <w:r>
        <w:rPr>
          <w:color w:val="auto"/>
        </w:rPr>
        <w:t xml:space="preserve"> Wasser. Nun schmelze die Lösung mit dem Magnetrührer und kühle die klare Lösung langsam ab. Die Kristallisation kann durch Zugabe eines kleinen Kristalls Natriumacetat-</w:t>
      </w:r>
      <w:proofErr w:type="spellStart"/>
      <w:r>
        <w:rPr>
          <w:color w:val="auto"/>
        </w:rPr>
        <w:t>trihydrat</w:t>
      </w:r>
      <w:proofErr w:type="spellEnd"/>
      <w:r>
        <w:rPr>
          <w:color w:val="auto"/>
        </w:rPr>
        <w:t xml:space="preserve"> ausg</w:t>
      </w:r>
      <w:r>
        <w:rPr>
          <w:color w:val="auto"/>
        </w:rPr>
        <w:t>e</w:t>
      </w:r>
      <w:r>
        <w:rPr>
          <w:color w:val="auto"/>
        </w:rPr>
        <w:t>löst werden. Hierbei ist die Temperaturänderung mit dem Thermometer zu beobachten.</w:t>
      </w:r>
    </w:p>
    <w:p w:rsidR="002A64A4" w:rsidRDefault="002A64A4" w:rsidP="002A64A4">
      <w:pPr>
        <w:rPr>
          <w:color w:val="auto"/>
        </w:rPr>
      </w:pPr>
      <w:bookmarkStart w:id="1" w:name="_Toc362959015"/>
      <w:r w:rsidRPr="00576431">
        <w:rPr>
          <w:rStyle w:val="berschrift2Zchn"/>
          <w:rFonts w:eastAsia="Calibri"/>
        </w:rPr>
        <w:t>Beobachtung</w:t>
      </w:r>
      <w:bookmarkEnd w:id="1"/>
      <w:r>
        <w:rPr>
          <w:color w:val="auto"/>
        </w:rPr>
        <w:t>:</w:t>
      </w:r>
    </w:p>
    <w:p w:rsidR="002A64A4" w:rsidRDefault="002A64A4" w:rsidP="002A64A4">
      <w:pPr>
        <w:rPr>
          <w:color w:val="auto"/>
        </w:rPr>
      </w:pPr>
      <w:r>
        <w:rPr>
          <w:color w:val="auto"/>
        </w:rPr>
        <w:t>Beschreibe, wie sich die Temperatur und die Struktur deiner Lösung während der Kristallisation verändert haben.</w:t>
      </w:r>
    </w:p>
    <w:p w:rsidR="002A64A4" w:rsidRDefault="002A64A4" w:rsidP="002A64A4">
      <w:pPr>
        <w:rPr>
          <w:color w:val="auto"/>
        </w:rPr>
      </w:pPr>
      <w:r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2A64A4" w:rsidRPr="00576431" w:rsidRDefault="002A64A4" w:rsidP="002A64A4">
      <w:pPr>
        <w:pStyle w:val="berschrift2"/>
        <w:numPr>
          <w:ilvl w:val="0"/>
          <w:numId w:val="0"/>
        </w:numPr>
        <w:ind w:left="576" w:hanging="576"/>
      </w:pPr>
      <w:bookmarkStart w:id="2" w:name="_Toc362959016"/>
      <w:r w:rsidRPr="002A64A4">
        <w:rPr>
          <w:sz w:val="24"/>
        </w:rPr>
        <w:t>Deutung</w:t>
      </w:r>
      <w:r w:rsidRPr="00576431">
        <w:t>:</w:t>
      </w:r>
      <w:bookmarkEnd w:id="2"/>
      <w:r w:rsidRPr="00576431">
        <w:t xml:space="preserve"> </w:t>
      </w:r>
    </w:p>
    <w:p w:rsidR="002A64A4" w:rsidRDefault="002A64A4" w:rsidP="002A64A4">
      <w:pPr>
        <w:pStyle w:val="Listenabsatz"/>
        <w:numPr>
          <w:ilvl w:val="0"/>
          <w:numId w:val="14"/>
        </w:numPr>
        <w:spacing w:line="276" w:lineRule="auto"/>
        <w:rPr>
          <w:color w:val="auto"/>
        </w:rPr>
      </w:pPr>
      <w:r>
        <w:rPr>
          <w:color w:val="auto"/>
        </w:rPr>
        <w:t>Beschreibe, was eine endotherme und eine exotherme Reaktion kennzeichnet.</w:t>
      </w:r>
    </w:p>
    <w:p w:rsidR="002A64A4" w:rsidRPr="00576431" w:rsidRDefault="002A64A4" w:rsidP="002A64A4">
      <w:pPr>
        <w:rPr>
          <w:color w:val="auto"/>
        </w:rPr>
      </w:pPr>
      <w:r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2A64A4" w:rsidRDefault="002A64A4" w:rsidP="002A64A4">
      <w:pPr>
        <w:pStyle w:val="Listenabsatz"/>
        <w:numPr>
          <w:ilvl w:val="0"/>
          <w:numId w:val="14"/>
        </w:numPr>
        <w:spacing w:line="276" w:lineRule="auto"/>
        <w:rPr>
          <w:color w:val="auto"/>
        </w:rPr>
      </w:pPr>
      <w:r w:rsidRPr="00576431">
        <w:rPr>
          <w:color w:val="auto"/>
        </w:rPr>
        <w:t>Welche Teilreaktion</w:t>
      </w:r>
      <w:r>
        <w:rPr>
          <w:color w:val="auto"/>
        </w:rPr>
        <w:t xml:space="preserve"> bei der Herstellung eines Taschenwärmeres</w:t>
      </w:r>
      <w:r w:rsidRPr="00576431">
        <w:rPr>
          <w:color w:val="auto"/>
        </w:rPr>
        <w:t xml:space="preserve"> ist endotherm, welche ist exotherm</w:t>
      </w:r>
      <w:r>
        <w:rPr>
          <w:color w:val="auto"/>
        </w:rPr>
        <w:t>?</w:t>
      </w:r>
    </w:p>
    <w:p w:rsidR="002A64A4" w:rsidRPr="00576431" w:rsidRDefault="002A64A4" w:rsidP="002A64A4">
      <w:pPr>
        <w:rPr>
          <w:color w:val="auto"/>
        </w:rPr>
      </w:pPr>
      <w:r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2A64A4" w:rsidRDefault="002A64A4" w:rsidP="002A64A4">
      <w:pPr>
        <w:pStyle w:val="Listenabsatz"/>
        <w:numPr>
          <w:ilvl w:val="0"/>
          <w:numId w:val="14"/>
        </w:numPr>
        <w:spacing w:line="276" w:lineRule="auto"/>
        <w:rPr>
          <w:color w:val="auto"/>
        </w:rPr>
      </w:pPr>
      <w:r>
        <w:rPr>
          <w:color w:val="auto"/>
        </w:rPr>
        <w:t>Erläutere, inwiefern der Taschenwärmer als Wärmespeicher dient.</w:t>
      </w:r>
    </w:p>
    <w:p w:rsidR="002A64A4" w:rsidRPr="005240FE" w:rsidRDefault="002A64A4" w:rsidP="002A64A4">
      <w:pPr>
        <w:sectPr w:rsidR="002A64A4" w:rsidRPr="005240FE" w:rsidSect="0049087A">
          <w:headerReference w:type="default" r:id="rId9"/>
          <w:pgSz w:w="11906" w:h="16838"/>
          <w:pgMar w:top="1417" w:right="1417" w:bottom="709" w:left="1417" w:header="708" w:footer="708" w:gutter="0"/>
          <w:pgNumType w:start="0"/>
          <w:cols w:space="708"/>
          <w:docGrid w:linePitch="360"/>
        </w:sectPr>
      </w:pPr>
      <w:r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2A64A4" w:rsidRDefault="002A64A4" w:rsidP="002A64A4">
      <w:pPr>
        <w:pStyle w:val="berschrift1"/>
        <w:keepNext/>
        <w:keepLines/>
        <w:numPr>
          <w:ilvl w:val="0"/>
          <w:numId w:val="13"/>
        </w:numPr>
        <w:spacing w:before="360" w:after="240"/>
        <w:contextualSpacing w:val="0"/>
      </w:pPr>
      <w:bookmarkStart w:id="3" w:name="_Toc362959017"/>
      <w:r>
        <w:lastRenderedPageBreak/>
        <w:t>Reflexion des Arbeitsblattes</w:t>
      </w:r>
      <w:bookmarkEnd w:id="3"/>
      <w:r>
        <w:t xml:space="preserve"> </w:t>
      </w:r>
    </w:p>
    <w:p w:rsidR="002A64A4" w:rsidRPr="00576431" w:rsidRDefault="002A64A4" w:rsidP="002A64A4">
      <w:pPr>
        <w:rPr>
          <w:color w:val="auto"/>
        </w:rPr>
      </w:pPr>
      <w:r w:rsidRPr="00576431">
        <w:rPr>
          <w:color w:val="auto"/>
        </w:rPr>
        <w:t>Das Arbeitsblatt kann zur Weiterführung der endothermen und exothermen Reaktion zu Wä</w:t>
      </w:r>
      <w:r w:rsidRPr="00576431">
        <w:rPr>
          <w:color w:val="auto"/>
        </w:rPr>
        <w:t>r</w:t>
      </w:r>
      <w:r w:rsidRPr="00576431">
        <w:rPr>
          <w:color w:val="auto"/>
        </w:rPr>
        <w:t xml:space="preserve">mespeichern eingesetzt werden. </w:t>
      </w:r>
      <w:r>
        <w:rPr>
          <w:color w:val="auto"/>
        </w:rPr>
        <w:t>Die SuS sollen hierbei lernen, dass der Energieaustausch ch</w:t>
      </w:r>
      <w:r>
        <w:rPr>
          <w:color w:val="auto"/>
        </w:rPr>
        <w:t>e</w:t>
      </w:r>
      <w:r>
        <w:rPr>
          <w:color w:val="auto"/>
        </w:rPr>
        <w:t>mischer Systeme mit der Umgebung reversibel ist und dass chemische Systeme durch den Energieaustausch mit der Umgebung ihren eigenen Energiegehalt verändern und daher auch als Energiespeicher eingesetzt werden können.</w:t>
      </w:r>
    </w:p>
    <w:p w:rsidR="002A64A4" w:rsidRDefault="002A64A4" w:rsidP="002A64A4">
      <w:pPr>
        <w:pStyle w:val="berschrift2"/>
        <w:keepNext/>
        <w:keepLines/>
        <w:numPr>
          <w:ilvl w:val="1"/>
          <w:numId w:val="13"/>
        </w:numPr>
        <w:spacing w:before="200" w:after="200"/>
      </w:pPr>
      <w:bookmarkStart w:id="4" w:name="_Toc362959018"/>
      <w:r>
        <w:t>Erwartungshorizont (Kerncurriculum)</w:t>
      </w:r>
      <w:bookmarkEnd w:id="4"/>
    </w:p>
    <w:p w:rsidR="002A64A4" w:rsidRDefault="002A64A4" w:rsidP="002A64A4">
      <w:pPr>
        <w:rPr>
          <w:color w:val="auto"/>
        </w:rPr>
      </w:pPr>
      <w:r>
        <w:rPr>
          <w:color w:val="auto"/>
        </w:rPr>
        <w:t xml:space="preserve">Die erste Aufgabe dient der Reproduktion des bereits erlernten Fachwissens, </w:t>
      </w:r>
      <w:r w:rsidRPr="0065661F">
        <w:rPr>
          <w:color w:val="auto"/>
        </w:rPr>
        <w:t>dass chemische Reaktionen immer mit einem Energieumsatz verbunden sind</w:t>
      </w:r>
      <w:r>
        <w:rPr>
          <w:color w:val="auto"/>
        </w:rPr>
        <w:t xml:space="preserve"> und bietet den SuS die Möglichkeit unter Anwendung der energetischen Fachbegriffe endotherm und exotherm zu kommunizieren (Anforderungsbereich I). Die nachfolgende Aufgabe richtet sich an den Anforderungsbereich II –  das fachsprachliche Wissen in einfachen Kontexten anzuwenden. Hierbei wird die Kommunik</w:t>
      </w:r>
      <w:r>
        <w:rPr>
          <w:color w:val="auto"/>
        </w:rPr>
        <w:t>a</w:t>
      </w:r>
      <w:r>
        <w:rPr>
          <w:color w:val="auto"/>
        </w:rPr>
        <w:t>tion unter Anwendung energetischer Fachbegriffe vertieft. Als Transfer (Anforderungsbereich III) wird in der 3. Aufgabe das Beispiel des Wärmespeichers genutzt, um den SuS Anwendungen von Energieübertragungsprozessen im Alltag aufzuzeigen (BW).</w:t>
      </w:r>
    </w:p>
    <w:p w:rsidR="002A64A4" w:rsidRDefault="002A64A4" w:rsidP="002A64A4">
      <w:pPr>
        <w:pStyle w:val="berschrift2"/>
        <w:keepNext/>
        <w:keepLines/>
        <w:numPr>
          <w:ilvl w:val="1"/>
          <w:numId w:val="13"/>
        </w:numPr>
        <w:spacing w:before="200" w:after="200"/>
      </w:pPr>
      <w:bookmarkStart w:id="5" w:name="_Toc362959019"/>
      <w:r>
        <w:t>Erwartungshorizont (Inhaltlich)</w:t>
      </w:r>
      <w:bookmarkEnd w:id="5"/>
    </w:p>
    <w:p w:rsidR="002A64A4" w:rsidRPr="00576431" w:rsidRDefault="002A64A4" w:rsidP="002A64A4">
      <w:pPr>
        <w:pStyle w:val="Listenabsatz"/>
        <w:numPr>
          <w:ilvl w:val="0"/>
          <w:numId w:val="15"/>
        </w:numPr>
        <w:ind w:left="426"/>
        <w:rPr>
          <w:rFonts w:asciiTheme="majorHAnsi" w:hAnsiTheme="majorHAnsi"/>
          <w:color w:val="auto"/>
        </w:rPr>
      </w:pPr>
      <w:r w:rsidRPr="00576431">
        <w:rPr>
          <w:rFonts w:asciiTheme="majorHAnsi" w:hAnsiTheme="majorHAnsi"/>
          <w:color w:val="auto"/>
        </w:rPr>
        <w:t>Beschreibe, was eine endotherme und eine exotherme Reaktion kennzeichnet.</w:t>
      </w:r>
    </w:p>
    <w:p w:rsidR="002A64A4" w:rsidRPr="00576431" w:rsidRDefault="002A64A4" w:rsidP="002A64A4">
      <w:pPr>
        <w:pStyle w:val="Listenabsatz"/>
        <w:rPr>
          <w:rFonts w:asciiTheme="majorHAnsi" w:hAnsiTheme="majorHAnsi"/>
          <w:color w:val="auto"/>
        </w:rPr>
      </w:pPr>
      <w:r w:rsidRPr="00576431">
        <w:rPr>
          <w:rFonts w:asciiTheme="majorHAnsi" w:hAnsiTheme="majorHAnsi"/>
          <w:color w:val="auto"/>
        </w:rPr>
        <w:t>Bei endothermen Reaktionen wird Energie in Form von Wärme benötigt, bei exothe</w:t>
      </w:r>
      <w:r w:rsidRPr="00576431">
        <w:rPr>
          <w:rFonts w:asciiTheme="majorHAnsi" w:hAnsiTheme="majorHAnsi"/>
          <w:color w:val="auto"/>
        </w:rPr>
        <w:t>r</w:t>
      </w:r>
      <w:r w:rsidRPr="00576431">
        <w:rPr>
          <w:rFonts w:asciiTheme="majorHAnsi" w:hAnsiTheme="majorHAnsi"/>
          <w:color w:val="auto"/>
        </w:rPr>
        <w:t>men Reaktionen wird Energie in Form von Wärme frei.</w:t>
      </w:r>
    </w:p>
    <w:p w:rsidR="002A64A4" w:rsidRPr="00576431" w:rsidRDefault="002A64A4" w:rsidP="002A64A4">
      <w:pPr>
        <w:pStyle w:val="Listenabsatz"/>
        <w:numPr>
          <w:ilvl w:val="0"/>
          <w:numId w:val="15"/>
        </w:numPr>
        <w:ind w:left="426"/>
        <w:rPr>
          <w:rFonts w:asciiTheme="majorHAnsi" w:hAnsiTheme="majorHAnsi"/>
          <w:color w:val="auto"/>
        </w:rPr>
      </w:pPr>
      <w:r w:rsidRPr="00576431">
        <w:rPr>
          <w:rFonts w:asciiTheme="majorHAnsi" w:hAnsiTheme="majorHAnsi"/>
          <w:color w:val="auto"/>
        </w:rPr>
        <w:t>Welche Teilreaktion bei der Herstellung eines Taschenwärmeres ist endotherm, welche ist exotherm?</w:t>
      </w:r>
    </w:p>
    <w:p w:rsidR="002A64A4" w:rsidRPr="00576431" w:rsidRDefault="002A64A4" w:rsidP="002A64A4">
      <w:pPr>
        <w:pStyle w:val="Listenabsatz"/>
        <w:rPr>
          <w:rFonts w:asciiTheme="majorHAnsi" w:hAnsiTheme="majorHAnsi"/>
          <w:color w:val="auto"/>
        </w:rPr>
      </w:pPr>
      <w:r w:rsidRPr="00576431">
        <w:rPr>
          <w:rFonts w:asciiTheme="majorHAnsi" w:hAnsiTheme="majorHAnsi"/>
          <w:color w:val="auto"/>
        </w:rPr>
        <w:t>Das Schmelzen des festen Natriumacetat-</w:t>
      </w:r>
      <w:proofErr w:type="spellStart"/>
      <w:r w:rsidRPr="00576431">
        <w:rPr>
          <w:rFonts w:asciiTheme="majorHAnsi" w:hAnsiTheme="majorHAnsi"/>
          <w:color w:val="auto"/>
        </w:rPr>
        <w:t>trihydrats</w:t>
      </w:r>
      <w:proofErr w:type="spellEnd"/>
      <w:r w:rsidRPr="00576431">
        <w:rPr>
          <w:rFonts w:asciiTheme="majorHAnsi" w:hAnsiTheme="majorHAnsi"/>
          <w:color w:val="auto"/>
        </w:rPr>
        <w:t xml:space="preserve"> ist ein endothermer Vorgang, bei dem Wärme benötigt wird. Die anschließende Kristallisation ist exotherm, da Wärme frei wird. </w:t>
      </w:r>
    </w:p>
    <w:p w:rsidR="002A64A4" w:rsidRPr="00576431" w:rsidRDefault="002A64A4" w:rsidP="002A64A4">
      <w:pPr>
        <w:pStyle w:val="Listenabsatz"/>
        <w:numPr>
          <w:ilvl w:val="0"/>
          <w:numId w:val="15"/>
        </w:numPr>
        <w:ind w:left="426"/>
        <w:rPr>
          <w:rFonts w:asciiTheme="majorHAnsi" w:hAnsiTheme="majorHAnsi"/>
          <w:color w:val="auto"/>
        </w:rPr>
      </w:pPr>
      <w:r w:rsidRPr="00576431">
        <w:rPr>
          <w:rFonts w:asciiTheme="majorHAnsi" w:hAnsiTheme="majorHAnsi"/>
          <w:color w:val="auto"/>
        </w:rPr>
        <w:t>Erläutere, inwiefern der Taschenwärmer als Wärmespeicher dient.</w:t>
      </w:r>
    </w:p>
    <w:p w:rsidR="002A64A4" w:rsidRPr="00576431" w:rsidRDefault="002A64A4" w:rsidP="002A64A4">
      <w:pPr>
        <w:pStyle w:val="Listenabsatz"/>
        <w:rPr>
          <w:rFonts w:asciiTheme="majorHAnsi" w:hAnsiTheme="majorHAnsi"/>
          <w:color w:val="auto"/>
        </w:rPr>
      </w:pPr>
      <w:r w:rsidRPr="00576431">
        <w:rPr>
          <w:rFonts w:asciiTheme="majorHAnsi" w:hAnsiTheme="majorHAnsi"/>
          <w:color w:val="auto"/>
        </w:rPr>
        <w:t>Die dem Taschenwärmer zugeführt</w:t>
      </w:r>
      <w:r>
        <w:rPr>
          <w:rFonts w:asciiTheme="majorHAnsi" w:hAnsiTheme="majorHAnsi"/>
          <w:color w:val="auto"/>
        </w:rPr>
        <w:t>e</w:t>
      </w:r>
      <w:r w:rsidRPr="00576431">
        <w:rPr>
          <w:rFonts w:asciiTheme="majorHAnsi" w:hAnsiTheme="majorHAnsi"/>
          <w:color w:val="auto"/>
        </w:rPr>
        <w:t xml:space="preserve"> Wärme wird in der Lösung gespeichert und erst dann wieder freigesetzt, wenn der Vorgang der Kristallisation durch das Knicken des Metallplättchens bzw. durch die Kristalle herbeigeführt wird.</w:t>
      </w:r>
    </w:p>
    <w:p w:rsidR="00BE6DD9" w:rsidRPr="002A64A4" w:rsidRDefault="00BE6DD9" w:rsidP="002A64A4"/>
    <w:sectPr w:rsidR="00BE6DD9" w:rsidRPr="002A64A4" w:rsidSect="00105256">
      <w:headerReference w:type="default" r:id="rId10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F72" w:rsidRDefault="00022F72" w:rsidP="009524CC">
      <w:pPr>
        <w:spacing w:after="0"/>
      </w:pPr>
      <w:r>
        <w:separator/>
      </w:r>
    </w:p>
  </w:endnote>
  <w:endnote w:type="continuationSeparator" w:id="0">
    <w:p w:rsidR="00022F72" w:rsidRDefault="00022F72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F72" w:rsidRDefault="00022F72" w:rsidP="009524CC">
      <w:pPr>
        <w:spacing w:after="0"/>
      </w:pPr>
      <w:r>
        <w:separator/>
      </w:r>
    </w:p>
  </w:footnote>
  <w:footnote w:type="continuationSeparator" w:id="0">
    <w:p w:rsidR="00022F72" w:rsidRDefault="00022F72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0"/>
        <w:szCs w:val="20"/>
      </w:rPr>
      <w:id w:val="32404297"/>
      <w:docPartObj>
        <w:docPartGallery w:val="Page Numbers (Top of Page)"/>
        <w:docPartUnique/>
      </w:docPartObj>
    </w:sdtPr>
    <w:sdtContent>
      <w:p w:rsidR="002A64A4" w:rsidRPr="00337B69" w:rsidRDefault="002A64A4" w:rsidP="00337B69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384E9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2A64A4" w:rsidRPr="002A64A4">
              <w:rPr>
                <w:b/>
                <w:bCs/>
                <w:noProof/>
                <w:sz w:val="20"/>
                <w:szCs w:val="20"/>
              </w:rPr>
              <w:t>Reflexion des Arbeitsblattes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384E9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2A64A4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4C551449"/>
    <w:multiLevelType w:val="hybridMultilevel"/>
    <w:tmpl w:val="F0604A2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D1F4B45"/>
    <w:multiLevelType w:val="hybridMultilevel"/>
    <w:tmpl w:val="48C65FF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3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0"/>
  </w:num>
  <w:num w:numId="4">
    <w:abstractNumId w:val="11"/>
  </w:num>
  <w:num w:numId="5">
    <w:abstractNumId w:val="5"/>
  </w:num>
  <w:num w:numId="6">
    <w:abstractNumId w:val="13"/>
  </w:num>
  <w:num w:numId="7">
    <w:abstractNumId w:val="9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8"/>
  </w:num>
  <w:num w:numId="13">
    <w:abstractNumId w:val="6"/>
  </w:num>
  <w:num w:numId="14">
    <w:abstractNumId w:val="7"/>
  </w:num>
  <w:num w:numId="15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2F72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2F0B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64A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4E9F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5747B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1731A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5B71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16A0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89C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B6801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2F99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5D03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52C90-9783-4B6F-AEDE-EF9478742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2013-08-11T20:49:00Z</dcterms:created>
  <dcterms:modified xsi:type="dcterms:W3CDTF">2013-08-11T20:49:00Z</dcterms:modified>
</cp:coreProperties>
</file>