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3AA" w:rsidRPr="00CE73AA" w:rsidRDefault="00750902" w:rsidP="00CE73AA">
      <w:pPr>
        <w:keepNext/>
        <w:keepLines/>
        <w:numPr>
          <w:ilvl w:val="1"/>
          <w:numId w:val="0"/>
        </w:numPr>
        <w:ind w:left="576" w:hanging="576"/>
        <w:jc w:val="both"/>
        <w:outlineLvl w:val="1"/>
        <w:rPr>
          <w:rFonts w:asciiTheme="majorHAnsi" w:eastAsiaTheme="majorEastAsia" w:hAnsiTheme="majorHAnsi" w:cstheme="majorBidi"/>
          <w:b/>
          <w:bCs/>
          <w:color w:val="1D1B11" w:themeColor="background2" w:themeShade="1A"/>
          <w:szCs w:val="26"/>
        </w:rPr>
      </w:pPr>
      <w:bookmarkStart w:id="0" w:name="_Toc362965690"/>
      <w:r w:rsidRPr="00750902">
        <w:rPr>
          <w:rFonts w:asciiTheme="majorHAnsi" w:eastAsiaTheme="majorEastAsia" w:hAnsiTheme="majorHAnsi" w:cstheme="majorBidi"/>
          <w:color w:val="1D1B11" w:themeColor="background2" w:themeShade="1A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2.85pt;margin-top:31.9pt;width:462.45pt;height:84pt;z-index:251660288;mso-width-relative:margin;mso-height-relative:margin" fillcolor="white [3201]" strokecolor="#4bacc6 [3208]" strokeweight="1pt">
            <v:stroke dashstyle="dash"/>
            <v:shadow color="#868686"/>
            <v:textbox style="mso-next-textbox:#_x0000_s1042">
              <w:txbxContent>
                <w:p w:rsidR="00CE73AA" w:rsidRPr="00665101" w:rsidRDefault="00CE73AA" w:rsidP="00665101">
                  <w:pPr>
                    <w:jc w:val="both"/>
                    <w:rPr>
                      <w:rFonts w:asciiTheme="majorHAnsi" w:hAnsiTheme="majorHAnsi"/>
                    </w:rPr>
                  </w:pPr>
                  <w:r w:rsidRPr="00665101">
                    <w:rPr>
                      <w:rFonts w:asciiTheme="majorHAnsi" w:hAnsiTheme="majorHAnsi"/>
                    </w:rPr>
                    <w:t>Dieser Versuch zeigt, dass eine geringe Aktivierungsenergie ausreichen kann, um eine starke exotherme chemische Reaktionen auszulösen.</w:t>
                  </w:r>
                </w:p>
                <w:p w:rsidR="00CE73AA" w:rsidRPr="00665101" w:rsidRDefault="00CE73AA" w:rsidP="00665101">
                  <w:pPr>
                    <w:jc w:val="both"/>
                    <w:rPr>
                      <w:rFonts w:asciiTheme="majorHAnsi" w:hAnsiTheme="majorHAnsi"/>
                    </w:rPr>
                  </w:pPr>
                  <w:r w:rsidRPr="00665101">
                    <w:rPr>
                      <w:rFonts w:asciiTheme="majorHAnsi" w:hAnsiTheme="majorHAnsi"/>
                    </w:rPr>
                    <w:t>Je nachdem, inwieweit chemische Reaktionen in der Klasse schon behandelt wurden, müssten die untenstehende Reaktionsgleichung gegebenenfalls weggelassen werden.</w:t>
                  </w:r>
                </w:p>
                <w:p w:rsidR="00CE73AA" w:rsidRPr="00665101" w:rsidRDefault="00CE73AA" w:rsidP="00665101">
                  <w:pPr>
                    <w:jc w:val="both"/>
                    <w:rPr>
                      <w:rFonts w:asciiTheme="majorHAnsi" w:hAnsiTheme="majorHAnsi"/>
                    </w:rPr>
                  </w:pPr>
                </w:p>
                <w:p w:rsidR="00CE73AA" w:rsidRPr="00665101" w:rsidRDefault="00CE73AA" w:rsidP="00665101">
                  <w:pPr>
                    <w:jc w:val="both"/>
                    <w:rPr>
                      <w:rFonts w:asciiTheme="majorHAnsi" w:hAnsiTheme="majorHAnsi"/>
                    </w:rPr>
                  </w:pPr>
                </w:p>
                <w:p w:rsidR="00CE73AA" w:rsidRPr="00665101" w:rsidRDefault="00CE73AA" w:rsidP="00665101">
                  <w:pPr>
                    <w:jc w:val="both"/>
                    <w:rPr>
                      <w:rFonts w:asciiTheme="majorHAnsi" w:hAnsiTheme="majorHAnsi"/>
                    </w:rPr>
                  </w:pPr>
                </w:p>
              </w:txbxContent>
            </v:textbox>
            <w10:wrap type="square"/>
          </v:shape>
        </w:pict>
      </w:r>
      <w:r w:rsidR="00CE73AA" w:rsidRPr="00CE73AA">
        <w:rPr>
          <w:rFonts w:asciiTheme="majorHAnsi" w:eastAsiaTheme="majorEastAsia" w:hAnsiTheme="majorHAnsi" w:cstheme="majorBidi"/>
          <w:b/>
          <w:bCs/>
          <w:color w:val="1D1B11" w:themeColor="background2" w:themeShade="1A"/>
          <w:szCs w:val="26"/>
        </w:rPr>
        <w:t>V5 – Aluminium-Schwefel-Gemisch</w:t>
      </w:r>
      <w:bookmarkEnd w:id="0"/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CE73AA" w:rsidRPr="00CE73AA" w:rsidTr="001D400B">
        <w:tc>
          <w:tcPr>
            <w:tcW w:w="9322" w:type="dxa"/>
            <w:gridSpan w:val="9"/>
            <w:shd w:val="clear" w:color="auto" w:fill="4F81BD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CE73AA">
              <w:rPr>
                <w:rFonts w:asciiTheme="majorHAnsi" w:hAnsiTheme="majorHAnsi"/>
                <w:b/>
                <w:bCs/>
                <w:color w:val="000000" w:themeColor="text1"/>
              </w:rPr>
              <w:t>Gefahrenstoffe</w:t>
            </w:r>
          </w:p>
        </w:tc>
      </w:tr>
      <w:tr w:rsidR="00CE73AA" w:rsidRPr="00CE73AA" w:rsidTr="001D400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CE73AA">
              <w:rPr>
                <w:rFonts w:asciiTheme="majorHAnsi" w:hAnsiTheme="majorHAnsi"/>
                <w:color w:val="000000" w:themeColor="text1"/>
              </w:rPr>
              <w:t>Aluminium-Pulver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color w:val="000000" w:themeColor="text1"/>
              </w:rPr>
              <w:t>H: 261, 250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color w:val="000000" w:themeColor="text1"/>
              </w:rPr>
              <w:t>P: 222, 231+232, 422</w:t>
            </w:r>
          </w:p>
        </w:tc>
      </w:tr>
      <w:tr w:rsidR="00CE73AA" w:rsidRPr="00CE73AA" w:rsidTr="001D400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color w:val="000000" w:themeColor="text1"/>
              </w:rPr>
              <w:t>Schwefel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color w:val="000000" w:themeColor="text1"/>
              </w:rPr>
              <w:t>H: 315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color w:val="000000" w:themeColor="text1"/>
              </w:rPr>
              <w:t>P: 302+352</w:t>
            </w:r>
          </w:p>
        </w:tc>
      </w:tr>
      <w:tr w:rsidR="00CE73AA" w:rsidRPr="00CE73AA" w:rsidTr="001D400B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CE73AA">
              <w:rPr>
                <w:rFonts w:asciiTheme="majorHAnsi" w:hAnsiTheme="majorHAnsi"/>
                <w:b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38061" cy="540000"/>
                  <wp:effectExtent l="0" t="0" r="0" b="0"/>
                  <wp:docPr id="25" name="Bild 6" descr="C:\Users\TOSHIBA\Desktop\SVP_Chemie\Protokolle\Piktogramme\Ä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SHIBA\Desktop\SVP_Chemie\Protokolle\Piktogramme\Ä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6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38321" cy="540000"/>
                  <wp:effectExtent l="0" t="0" r="0" b="0"/>
                  <wp:docPr id="26" name="Bild 7" descr="C:\Users\TOSHIBA\Desktop\SVP_Chemie\Protokolle\Piktogramme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esktop\SVP_Chemie\Protokolle\Piktogramme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40000" cy="551986"/>
                  <wp:effectExtent l="19050" t="0" r="0" b="0"/>
                  <wp:docPr id="27" name="Bild 8" descr="C:\Users\TOSHIBA\Desktop\SVP_Chemie\Protokolle\Piktogramme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SHIBA\Desktop\SVP_Chemie\Protokolle\Piktogramme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5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38320" cy="540000"/>
                  <wp:effectExtent l="0" t="0" r="0" b="0"/>
                  <wp:docPr id="28" name="Bild 9" descr="C:\Users\TOSHIBA\Desktop\SVP_Chemie\Protokolle\Piktogramme\Explosions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Desktop\SVP_Chemie\Protokolle\Piktogramme\Explosions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38321" cy="540000"/>
                  <wp:effectExtent l="0" t="0" r="0" b="0"/>
                  <wp:docPr id="29" name="Bild 10" descr="C:\Users\TOSHIBA\Desktop\SVP_Chemie\Protokolle\Piktogramme\Gasflas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Desktop\SVP_Chemie\Protokolle\Piktogramme\Gasflas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39491" cy="540000"/>
                  <wp:effectExtent l="0" t="0" r="0" b="0"/>
                  <wp:docPr id="30" name="Bild 11" descr="C:\Users\TOSHIBA\Desktop\SVP_Chemie\Protokolle\Piktogramme\Gesundheits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Desktop\SVP_Chemie\Protokolle\Piktogramme\Gesundheits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39491" cy="540000"/>
                  <wp:effectExtent l="0" t="0" r="0" b="0"/>
                  <wp:docPr id="31" name="Bild 12" descr="C:\Users\TOSHIBA\Desktop\SVP_Chemie\Protokolle\Piktogramme\Gift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OSHIBA\Desktop\SVP_Chemie\Protokolle\Piktogramme\Gift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39999" cy="540000"/>
                  <wp:effectExtent l="0" t="0" r="0" b="0"/>
                  <wp:docPr id="14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9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E73AA" w:rsidRPr="00CE73AA" w:rsidRDefault="00CE73AA" w:rsidP="00CE73AA">
            <w:pPr>
              <w:tabs>
                <w:tab w:val="left" w:pos="1701"/>
                <w:tab w:val="left" w:pos="1985"/>
              </w:tabs>
              <w:ind w:left="1980" w:hanging="1980"/>
              <w:jc w:val="both"/>
              <w:rPr>
                <w:rFonts w:asciiTheme="majorHAnsi" w:hAnsiTheme="majorHAnsi"/>
                <w:color w:val="000000" w:themeColor="text1"/>
              </w:rPr>
            </w:pPr>
            <w:r w:rsidRPr="00CE73AA">
              <w:rPr>
                <w:rFonts w:asciiTheme="majorHAnsi" w:hAnsiTheme="majorHAnsi"/>
                <w:noProof/>
                <w:color w:val="000000" w:themeColor="text1"/>
                <w:lang w:eastAsia="de-DE"/>
              </w:rPr>
              <w:drawing>
                <wp:inline distT="0" distB="0" distL="0" distR="0">
                  <wp:extent cx="539491" cy="540000"/>
                  <wp:effectExtent l="0" t="0" r="0" b="0"/>
                  <wp:docPr id="141" name="Bild 13" descr="C:\Users\TOSHIBA\Desktop\SVP_Chemie\Protokolle\Piktogramme\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Desktop\SVP_Chemie\Protokolle\Piktogramme\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</w:p>
    <w:p w:rsidR="00CE73AA" w:rsidRPr="00CE73AA" w:rsidRDefault="00CE73AA" w:rsidP="00CE73AA">
      <w:pPr>
        <w:tabs>
          <w:tab w:val="left" w:pos="1418"/>
        </w:tabs>
        <w:ind w:left="1418" w:hanging="1418"/>
        <w:jc w:val="both"/>
        <w:rPr>
          <w:rFonts w:asciiTheme="majorHAnsi" w:hAnsiTheme="majorHAnsi"/>
          <w:color w:val="000000" w:themeColor="text1"/>
        </w:rPr>
      </w:pPr>
      <w:r w:rsidRPr="00CE73AA">
        <w:rPr>
          <w:rFonts w:asciiTheme="majorHAnsi" w:hAnsiTheme="majorHAnsi"/>
          <w:color w:val="000000" w:themeColor="text1"/>
        </w:rPr>
        <w:t xml:space="preserve">Materialien: </w:t>
      </w:r>
      <w:r w:rsidRPr="00CE73AA">
        <w:rPr>
          <w:rFonts w:asciiTheme="majorHAnsi" w:hAnsiTheme="majorHAnsi"/>
          <w:color w:val="000000" w:themeColor="text1"/>
        </w:rPr>
        <w:tab/>
        <w:t>feuerfeste Unterlage, Bunsenbrenner, Eisennagel</w:t>
      </w:r>
    </w:p>
    <w:p w:rsidR="00CE73AA" w:rsidRPr="00CE73AA" w:rsidRDefault="00CE73AA" w:rsidP="00CE73AA">
      <w:pPr>
        <w:tabs>
          <w:tab w:val="left" w:pos="1418"/>
          <w:tab w:val="left" w:pos="1701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  <w:r w:rsidRPr="00CE73AA">
        <w:rPr>
          <w:rFonts w:asciiTheme="majorHAnsi" w:hAnsiTheme="majorHAnsi"/>
          <w:color w:val="000000" w:themeColor="text1"/>
        </w:rPr>
        <w:t>Chemikalien:</w:t>
      </w:r>
      <w:r w:rsidRPr="00CE73AA">
        <w:rPr>
          <w:rFonts w:asciiTheme="majorHAnsi" w:hAnsiTheme="majorHAnsi"/>
          <w:color w:val="000000" w:themeColor="text1"/>
        </w:rPr>
        <w:tab/>
        <w:t>Aluminium-Pulver und Schwefel-Pulver</w:t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</w:p>
    <w:p w:rsidR="00CE73AA" w:rsidRPr="00CE73AA" w:rsidRDefault="00CE73AA" w:rsidP="00CE73AA">
      <w:pPr>
        <w:tabs>
          <w:tab w:val="left" w:pos="1418"/>
        </w:tabs>
        <w:ind w:left="1418" w:hanging="1418"/>
        <w:jc w:val="both"/>
        <w:rPr>
          <w:rFonts w:asciiTheme="majorHAnsi" w:hAnsiTheme="majorHAnsi"/>
          <w:color w:val="000000" w:themeColor="text1"/>
        </w:rPr>
      </w:pPr>
      <w:r w:rsidRPr="00CE73AA">
        <w:rPr>
          <w:rFonts w:asciiTheme="majorHAnsi" w:hAnsiTheme="majorHAnsi"/>
          <w:color w:val="000000" w:themeColor="text1"/>
        </w:rPr>
        <w:t>Durchführung:</w:t>
      </w:r>
      <w:r w:rsidRPr="00CE73AA">
        <w:rPr>
          <w:rFonts w:asciiTheme="majorHAnsi" w:hAnsiTheme="majorHAnsi"/>
          <w:color w:val="000000" w:themeColor="text1"/>
        </w:rPr>
        <w:tab/>
        <w:t>2 g Aluminium-Pulver und 4 g Schwefel-Pulver werden vorsichtig vermischt und auf die feuerfeste Unterlage gegeben.</w:t>
      </w:r>
    </w:p>
    <w:p w:rsidR="00CE73AA" w:rsidRPr="00CE73AA" w:rsidRDefault="00CE73AA" w:rsidP="00CE73AA">
      <w:pPr>
        <w:ind w:left="1418" w:hanging="1418"/>
        <w:jc w:val="both"/>
        <w:rPr>
          <w:rFonts w:asciiTheme="majorHAnsi" w:hAnsiTheme="majorHAnsi"/>
          <w:color w:val="000000" w:themeColor="text1"/>
        </w:rPr>
      </w:pPr>
      <w:r w:rsidRPr="00CE73AA">
        <w:rPr>
          <w:rFonts w:asciiTheme="majorHAnsi" w:hAnsiTheme="majorHAnsi"/>
          <w:color w:val="000000" w:themeColor="text1"/>
        </w:rPr>
        <w:tab/>
        <w:t>Der Eisennagel wird bis zum Glühen erhitzt und in den Aluminium-Schwefel-Hügel gesteckt.</w:t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</w:p>
    <w:p w:rsidR="00CE73AA" w:rsidRPr="00CE73AA" w:rsidRDefault="00CE73AA" w:rsidP="00CE73AA">
      <w:pPr>
        <w:tabs>
          <w:tab w:val="left" w:pos="1418"/>
        </w:tabs>
        <w:ind w:left="1418" w:hanging="1418"/>
        <w:jc w:val="both"/>
        <w:rPr>
          <w:rFonts w:asciiTheme="majorHAnsi" w:hAnsiTheme="majorHAnsi"/>
          <w:color w:val="000000" w:themeColor="text1"/>
        </w:rPr>
      </w:pPr>
      <w:r w:rsidRPr="00CE73AA">
        <w:rPr>
          <w:rFonts w:asciiTheme="majorHAnsi" w:hAnsiTheme="majorHAnsi"/>
          <w:color w:val="000000" w:themeColor="text1"/>
        </w:rPr>
        <w:t>Beobachtung:</w:t>
      </w:r>
      <w:r w:rsidRPr="00CE73AA">
        <w:rPr>
          <w:rFonts w:asciiTheme="majorHAnsi" w:hAnsiTheme="majorHAnsi"/>
          <w:color w:val="000000" w:themeColor="text1"/>
        </w:rPr>
        <w:tab/>
        <w:t>Nachdem der glühende Nagel das Gemisch berührt hat, beginnt eine starke Reaktion und eine Funkenentwicklung war zu erkennen. Es entsteht ein schwarzes Produkt.</w:t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bCs/>
          <w:color w:val="000000" w:themeColor="text1"/>
        </w:rPr>
      </w:pPr>
    </w:p>
    <w:p w:rsidR="00CE73AA" w:rsidRPr="00CE73AA" w:rsidRDefault="00CE73AA" w:rsidP="00CE73AA">
      <w:pPr>
        <w:numPr>
          <w:ilvl w:val="0"/>
          <w:numId w:val="2"/>
        </w:numPr>
        <w:tabs>
          <w:tab w:val="left" w:pos="2835"/>
        </w:tabs>
        <w:spacing w:after="200"/>
        <w:ind w:left="2977" w:hanging="2977"/>
        <w:jc w:val="both"/>
        <w:rPr>
          <w:rFonts w:asciiTheme="majorHAnsi" w:hAnsiTheme="majorHAnsi"/>
          <w:bCs/>
          <w:color w:val="000000" w:themeColor="text1"/>
        </w:rPr>
      </w:pPr>
      <w:r w:rsidRPr="00CE73AA">
        <w:rPr>
          <w:rFonts w:asciiTheme="majorHAnsi" w:hAnsiTheme="majorHAnsi"/>
          <w:bCs/>
          <w:color w:val="000000" w:themeColor="text1"/>
        </w:rPr>
        <w:t>(b)</w:t>
      </w:r>
      <w:r w:rsidRPr="00CE73AA">
        <w:rPr>
          <w:rFonts w:asciiTheme="majorHAnsi" w:hAnsiTheme="majorHAnsi"/>
          <w:bCs/>
          <w:color w:val="000000" w:themeColor="text1"/>
        </w:rPr>
        <w:tab/>
      </w:r>
      <w:r w:rsidRPr="00CE73AA">
        <w:rPr>
          <w:rFonts w:asciiTheme="majorHAnsi" w:hAnsiTheme="majorHAnsi"/>
          <w:bCs/>
          <w:color w:val="000000" w:themeColor="text1"/>
        </w:rPr>
        <w:tab/>
      </w:r>
      <w:r w:rsidRPr="00CE73AA">
        <w:rPr>
          <w:rFonts w:asciiTheme="majorHAnsi" w:hAnsiTheme="majorHAnsi"/>
          <w:bCs/>
          <w:color w:val="000000" w:themeColor="text1"/>
        </w:rPr>
        <w:tab/>
      </w:r>
      <w:r w:rsidRPr="00CE73AA">
        <w:rPr>
          <w:rFonts w:asciiTheme="majorHAnsi" w:hAnsiTheme="majorHAnsi"/>
          <w:bCs/>
          <w:color w:val="000000" w:themeColor="text1"/>
        </w:rPr>
        <w:tab/>
        <w:t>(c)</w:t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bCs/>
          <w:color w:val="000000" w:themeColor="text1"/>
        </w:rPr>
      </w:pPr>
      <w:r w:rsidRPr="00CE73AA">
        <w:rPr>
          <w:rFonts w:asciiTheme="majorHAnsi" w:hAnsiTheme="majorHAnsi"/>
          <w:bCs/>
          <w:noProof/>
          <w:color w:val="000000" w:themeColor="text1"/>
          <w:lang w:eastAsia="de-DE"/>
        </w:rPr>
        <w:drawing>
          <wp:inline distT="0" distB="0" distL="0" distR="0">
            <wp:extent cx="1650857" cy="1224000"/>
            <wp:effectExtent l="19050" t="0" r="6493" b="0"/>
            <wp:docPr id="142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949" t="15000" r="18965" b="1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57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3AA">
        <w:rPr>
          <w:rFonts w:asciiTheme="majorHAnsi" w:hAnsiTheme="majorHAnsi"/>
          <w:bCs/>
          <w:noProof/>
          <w:color w:val="000000" w:themeColor="text1"/>
          <w:lang w:eastAsia="de-DE"/>
        </w:rPr>
        <w:drawing>
          <wp:inline distT="0" distB="0" distL="0" distR="0">
            <wp:extent cx="1764468" cy="1224000"/>
            <wp:effectExtent l="19050" t="0" r="7182" b="0"/>
            <wp:docPr id="14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626" t="18824" r="18304" b="1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68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3AA">
        <w:rPr>
          <w:rFonts w:asciiTheme="majorHAnsi" w:hAnsiTheme="majorHAnsi"/>
          <w:bCs/>
          <w:noProof/>
          <w:color w:val="000000" w:themeColor="text1"/>
          <w:lang w:eastAsia="de-DE"/>
        </w:rPr>
        <w:drawing>
          <wp:inline distT="0" distB="0" distL="0" distR="0">
            <wp:extent cx="1684407" cy="1224000"/>
            <wp:effectExtent l="19050" t="0" r="0" b="0"/>
            <wp:docPr id="144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769" t="16471" r="19461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07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bCs/>
          <w:color w:val="000000" w:themeColor="text1"/>
        </w:rPr>
      </w:pPr>
      <w:proofErr w:type="spellStart"/>
      <w:r w:rsidRPr="00CE73AA">
        <w:rPr>
          <w:rFonts w:asciiTheme="majorHAnsi" w:hAnsiTheme="majorHAnsi"/>
          <w:bCs/>
          <w:color w:val="000000" w:themeColor="text1"/>
        </w:rPr>
        <w:t>Abb</w:t>
      </w:r>
      <w:proofErr w:type="spellEnd"/>
      <w:r w:rsidRPr="00CE73AA">
        <w:rPr>
          <w:rFonts w:asciiTheme="majorHAnsi" w:hAnsiTheme="majorHAnsi"/>
          <w:bCs/>
          <w:color w:val="000000" w:themeColor="text1"/>
        </w:rPr>
        <w:t xml:space="preserve"> </w:t>
      </w:r>
      <w:r w:rsidR="00665101">
        <w:rPr>
          <w:rFonts w:asciiTheme="majorHAnsi" w:hAnsiTheme="majorHAnsi"/>
          <w:bCs/>
          <w:color w:val="000000" w:themeColor="text1"/>
        </w:rPr>
        <w:t>1</w:t>
      </w:r>
      <w:r w:rsidRPr="00CE73AA">
        <w:rPr>
          <w:rFonts w:asciiTheme="majorHAnsi" w:hAnsiTheme="majorHAnsi"/>
          <w:bCs/>
          <w:color w:val="000000" w:themeColor="text1"/>
        </w:rPr>
        <w:t>: Aluminium-Schwefel-Gemisch vor (a), während (b) und nach der Aktivierung (c)</w:t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bCs/>
          <w:color w:val="000000" w:themeColor="text1"/>
        </w:rPr>
      </w:pPr>
    </w:p>
    <w:p w:rsidR="00CE73AA" w:rsidRPr="00CE73AA" w:rsidRDefault="00CE73AA" w:rsidP="00CE73AA">
      <w:pPr>
        <w:tabs>
          <w:tab w:val="left" w:pos="1418"/>
        </w:tabs>
        <w:ind w:left="1418" w:hanging="1418"/>
        <w:jc w:val="both"/>
        <w:rPr>
          <w:rFonts w:asciiTheme="majorHAnsi" w:hAnsiTheme="majorHAnsi"/>
          <w:color w:val="000000" w:themeColor="text1"/>
        </w:rPr>
      </w:pPr>
      <w:r w:rsidRPr="00CE73AA">
        <w:rPr>
          <w:rFonts w:asciiTheme="majorHAnsi" w:hAnsiTheme="majorHAnsi"/>
          <w:color w:val="000000" w:themeColor="text1"/>
        </w:rPr>
        <w:t>Deutung:</w:t>
      </w:r>
      <w:r w:rsidRPr="00CE73AA">
        <w:rPr>
          <w:rFonts w:asciiTheme="majorHAnsi" w:hAnsiTheme="majorHAnsi"/>
          <w:color w:val="000000" w:themeColor="text1"/>
        </w:rPr>
        <w:tab/>
        <w:t>Aluminium und Schwefel reagieren nach einer Aktivierung durch die Wärme des Eisennagels und werden zu Aluminiumsulfid:</w:t>
      </w:r>
    </w:p>
    <w:p w:rsidR="00CE73AA" w:rsidRPr="00CE73AA" w:rsidRDefault="00750902" w:rsidP="00CE73AA">
      <w:pPr>
        <w:tabs>
          <w:tab w:val="left" w:pos="1701"/>
          <w:tab w:val="left" w:pos="1985"/>
        </w:tabs>
        <w:ind w:left="1980" w:hanging="564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133.9pt;margin-top:6.7pt;width:36.75pt;height:.75pt;flip:y;z-index:251661312" o:connectortype="straight">
            <v:stroke endarrow="block"/>
          </v:shape>
        </w:pict>
      </w:r>
      <w:r w:rsidR="00CE73AA" w:rsidRPr="00CE73AA">
        <w:rPr>
          <w:rFonts w:asciiTheme="majorHAnsi" w:hAnsiTheme="majorHAnsi"/>
          <w:color w:val="000000" w:themeColor="text1"/>
        </w:rPr>
        <w:t>2 Al</w:t>
      </w:r>
      <w:r w:rsidR="00CE73AA" w:rsidRPr="00CE73AA">
        <w:rPr>
          <w:rFonts w:asciiTheme="majorHAnsi" w:hAnsiTheme="majorHAnsi"/>
          <w:color w:val="000000" w:themeColor="text1"/>
          <w:vertAlign w:val="subscript"/>
        </w:rPr>
        <w:t>(s)</w:t>
      </w:r>
      <w:r w:rsidR="00CE73AA" w:rsidRPr="00CE73AA">
        <w:rPr>
          <w:rFonts w:asciiTheme="majorHAnsi" w:hAnsiTheme="majorHAnsi"/>
          <w:color w:val="000000" w:themeColor="text1"/>
        </w:rPr>
        <w:t xml:space="preserve"> + 3 S</w:t>
      </w:r>
      <w:r w:rsidR="00CE73AA" w:rsidRPr="00CE73AA">
        <w:rPr>
          <w:rFonts w:asciiTheme="majorHAnsi" w:hAnsiTheme="majorHAnsi"/>
          <w:color w:val="000000" w:themeColor="text1"/>
          <w:vertAlign w:val="subscript"/>
        </w:rPr>
        <w:t>(s)</w:t>
      </w:r>
      <w:r w:rsidR="00CE73AA" w:rsidRPr="00CE73AA">
        <w:rPr>
          <w:rFonts w:asciiTheme="majorHAnsi" w:hAnsiTheme="majorHAnsi"/>
          <w:color w:val="000000" w:themeColor="text1"/>
        </w:rPr>
        <w:t xml:space="preserve"> </w:t>
      </w:r>
      <w:r w:rsidR="00CE73AA" w:rsidRPr="00CE73AA">
        <w:rPr>
          <w:rFonts w:asciiTheme="majorHAnsi" w:hAnsiTheme="majorHAnsi"/>
          <w:color w:val="000000" w:themeColor="text1"/>
        </w:rPr>
        <w:tab/>
      </w:r>
      <w:r w:rsidR="00CE73AA" w:rsidRPr="00CE73AA">
        <w:rPr>
          <w:rFonts w:asciiTheme="majorHAnsi" w:hAnsiTheme="majorHAnsi"/>
          <w:color w:val="000000" w:themeColor="text1"/>
        </w:rPr>
        <w:tab/>
        <w:t xml:space="preserve"> Al</w:t>
      </w:r>
      <w:r w:rsidR="00CE73AA" w:rsidRPr="00CE73AA">
        <w:rPr>
          <w:rFonts w:asciiTheme="majorHAnsi" w:hAnsiTheme="majorHAnsi"/>
          <w:color w:val="000000" w:themeColor="text1"/>
          <w:vertAlign w:val="subscript"/>
        </w:rPr>
        <w:t>2</w:t>
      </w:r>
      <w:r w:rsidR="00CE73AA" w:rsidRPr="00CE73AA">
        <w:rPr>
          <w:rFonts w:asciiTheme="majorHAnsi" w:hAnsiTheme="majorHAnsi"/>
          <w:color w:val="000000" w:themeColor="text1"/>
        </w:rPr>
        <w:t>S</w:t>
      </w:r>
      <w:r w:rsidR="00CE73AA" w:rsidRPr="00CE73AA">
        <w:rPr>
          <w:rFonts w:asciiTheme="majorHAnsi" w:hAnsiTheme="majorHAnsi"/>
          <w:color w:val="000000" w:themeColor="text1"/>
          <w:vertAlign w:val="subscript"/>
        </w:rPr>
        <w:t>3(s)</w:t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</w:p>
    <w:p w:rsidR="00CE73AA" w:rsidRPr="00CE73AA" w:rsidRDefault="00CE73AA" w:rsidP="00CE73AA">
      <w:pPr>
        <w:tabs>
          <w:tab w:val="left" w:pos="1418"/>
        </w:tabs>
        <w:ind w:left="1418" w:hanging="1418"/>
        <w:jc w:val="both"/>
        <w:rPr>
          <w:rFonts w:asciiTheme="majorHAnsi" w:hAnsiTheme="majorHAnsi"/>
          <w:color w:val="000000" w:themeColor="text1"/>
        </w:rPr>
      </w:pPr>
      <w:r w:rsidRPr="00CE73AA">
        <w:rPr>
          <w:rFonts w:asciiTheme="majorHAnsi" w:hAnsiTheme="majorHAnsi"/>
          <w:color w:val="000000" w:themeColor="text1"/>
        </w:rPr>
        <w:t>Entsorgung:</w:t>
      </w:r>
      <w:r w:rsidRPr="00CE73AA">
        <w:rPr>
          <w:rFonts w:asciiTheme="majorHAnsi" w:hAnsiTheme="majorHAnsi"/>
          <w:color w:val="000000" w:themeColor="text1"/>
        </w:rPr>
        <w:tab/>
        <w:t>Das Aluminiumsulfid kann über den Schwermetall-Abfall entsorgt werden.</w:t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</w:p>
    <w:p w:rsidR="00CE73AA" w:rsidRPr="00CE73AA" w:rsidRDefault="00CE73AA" w:rsidP="00CE73AA">
      <w:pPr>
        <w:tabs>
          <w:tab w:val="left" w:pos="1418"/>
          <w:tab w:val="left" w:pos="1701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  <w:r w:rsidRPr="00CE73AA">
        <w:rPr>
          <w:rFonts w:asciiTheme="majorHAnsi" w:hAnsiTheme="majorHAnsi"/>
          <w:color w:val="000000" w:themeColor="text1"/>
        </w:rPr>
        <w:t>Literatur:</w:t>
      </w:r>
      <w:r w:rsidRPr="00CE73AA">
        <w:rPr>
          <w:rFonts w:asciiTheme="majorHAnsi" w:hAnsiTheme="majorHAnsi"/>
          <w:color w:val="000000" w:themeColor="text1"/>
        </w:rPr>
        <w:tab/>
        <w:t>-</w:t>
      </w:r>
    </w:p>
    <w:p w:rsidR="00CE73AA" w:rsidRPr="00CE73AA" w:rsidRDefault="00CE73AA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</w:p>
    <w:p w:rsidR="00CE73AA" w:rsidRPr="00CE73AA" w:rsidRDefault="00750902" w:rsidP="00CE73AA">
      <w:pPr>
        <w:tabs>
          <w:tab w:val="left" w:pos="1701"/>
          <w:tab w:val="left" w:pos="1985"/>
        </w:tabs>
        <w:ind w:left="1980" w:hanging="1980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</w:r>
      <w:r>
        <w:rPr>
          <w:rFonts w:asciiTheme="majorHAnsi" w:hAnsiTheme="majorHAnsi"/>
          <w:color w:val="000000" w:themeColor="text1"/>
        </w:rPr>
        <w:pict>
          <v:shape id="_x0000_s1044" type="#_x0000_t202" style="width:462.45pt;height:101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44">
              <w:txbxContent>
                <w:p w:rsidR="00CE73AA" w:rsidRPr="00665101" w:rsidRDefault="00CE73AA" w:rsidP="00665101">
                  <w:pPr>
                    <w:jc w:val="both"/>
                    <w:rPr>
                      <w:rFonts w:asciiTheme="majorHAnsi" w:hAnsiTheme="majorHAnsi"/>
                    </w:rPr>
                  </w:pPr>
                  <w:r w:rsidRPr="00665101">
                    <w:rPr>
                      <w:rFonts w:asciiTheme="majorHAnsi" w:hAnsiTheme="majorHAnsi"/>
                    </w:rPr>
                    <w:t>Dieser Versuch kann in Verbindung mit V2 (Reaktion von weißem Aluminium mit Wasser) verwendet werden, um zu zeigen, dass verschiedene Reaktionen unterschiedlich starke bzw. keine Aktivierungsenergien benötigen</w:t>
                  </w:r>
                </w:p>
                <w:p w:rsidR="00CE73AA" w:rsidRPr="00665101" w:rsidRDefault="00CE73AA" w:rsidP="00665101">
                  <w:pPr>
                    <w:jc w:val="both"/>
                    <w:rPr>
                      <w:rFonts w:asciiTheme="majorHAnsi" w:hAnsiTheme="majorHAnsi"/>
                    </w:rPr>
                  </w:pPr>
                  <w:r w:rsidRPr="00665101">
                    <w:rPr>
                      <w:rFonts w:asciiTheme="majorHAnsi" w:hAnsiTheme="majorHAnsi"/>
                    </w:rPr>
                    <w:t>Der Versuch ist wegen der Entstehung der Schwefeldioxide nur als Lehrer-Demonstrationsversuch geeignet und muss unter dem Abzug durchgeführt werden.</w:t>
                  </w:r>
                </w:p>
              </w:txbxContent>
            </v:textbox>
            <w10:wrap type="none"/>
            <w10:anchorlock/>
          </v:shape>
        </w:pict>
      </w:r>
    </w:p>
    <w:p w:rsidR="0043384F" w:rsidRPr="00CE73AA" w:rsidRDefault="00992DF1" w:rsidP="00CE73AA"/>
    <w:sectPr w:rsidR="0043384F" w:rsidRPr="00CE73AA" w:rsidSect="001A2281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DF1" w:rsidRDefault="00992DF1" w:rsidP="00CE73AA">
      <w:pPr>
        <w:spacing w:line="240" w:lineRule="auto"/>
      </w:pPr>
      <w:r>
        <w:separator/>
      </w:r>
    </w:p>
  </w:endnote>
  <w:endnote w:type="continuationSeparator" w:id="0">
    <w:p w:rsidR="00992DF1" w:rsidRDefault="00992DF1" w:rsidP="00CE73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DF1" w:rsidRDefault="00992DF1" w:rsidP="00CE73AA">
      <w:pPr>
        <w:spacing w:line="240" w:lineRule="auto"/>
      </w:pPr>
      <w:r>
        <w:separator/>
      </w:r>
    </w:p>
  </w:footnote>
  <w:footnote w:type="continuationSeparator" w:id="0">
    <w:p w:rsidR="00992DF1" w:rsidRDefault="00992DF1" w:rsidP="00CE73A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3AA" w:rsidRPr="00CE73AA" w:rsidRDefault="00750902" w:rsidP="00CE73AA">
    <w:pPr>
      <w:pStyle w:val="Kopfzeile"/>
      <w:tabs>
        <w:tab w:val="clear" w:pos="4536"/>
        <w:tab w:val="clear" w:pos="9072"/>
        <w:tab w:val="left" w:pos="0"/>
        <w:tab w:val="left" w:pos="6946"/>
      </w:tabs>
      <w:jc w:val="both"/>
      <w:rPr>
        <w:rFonts w:asciiTheme="majorHAnsi" w:hAnsiTheme="majorHAnsi"/>
      </w:rPr>
    </w:pPr>
    <w:sdt>
      <w:sdtPr>
        <w:rPr>
          <w:rFonts w:asciiTheme="majorHAnsi" w:hAnsiTheme="majorHAnsi"/>
        </w:rPr>
        <w:id w:val="84343485"/>
        <w:docPartObj>
          <w:docPartGallery w:val="Page Numbers (Top of Page)"/>
          <w:docPartUnique/>
        </w:docPartObj>
      </w:sdtPr>
      <w:sdtContent>
        <w:r w:rsidR="00CE73AA" w:rsidRPr="00CE73AA">
          <w:rPr>
            <w:rFonts w:asciiTheme="majorHAnsi" w:hAnsiTheme="majorHAnsi"/>
          </w:rPr>
          <w:t>V 5 – Aluminium-Schwefel-Gemisch</w:t>
        </w:r>
        <w:r w:rsidR="00CE73AA" w:rsidRPr="00CE73AA">
          <w:rPr>
            <w:rFonts w:asciiTheme="majorHAnsi" w:hAnsiTheme="majorHAnsi"/>
          </w:rPr>
          <w:tab/>
        </w:r>
        <w:r w:rsidR="00CE73AA" w:rsidRPr="00CE73AA">
          <w:rPr>
            <w:rFonts w:asciiTheme="majorHAnsi" w:hAnsiTheme="majorHAnsi"/>
          </w:rPr>
          <w:tab/>
        </w:r>
        <w:r w:rsidR="00CE73AA" w:rsidRPr="00CE73AA">
          <w:rPr>
            <w:rFonts w:asciiTheme="majorHAnsi" w:hAnsiTheme="majorHAnsi"/>
          </w:rPr>
          <w:tab/>
        </w:r>
        <w:r w:rsidR="00CE73AA" w:rsidRPr="00CE73AA">
          <w:rPr>
            <w:rFonts w:asciiTheme="majorHAnsi" w:hAnsiTheme="majorHAnsi"/>
          </w:rPr>
          <w:tab/>
          <w:t xml:space="preserve">         </w:t>
        </w:r>
        <w:r w:rsidRPr="00CE73AA">
          <w:rPr>
            <w:rFonts w:asciiTheme="majorHAnsi" w:hAnsiTheme="majorHAnsi"/>
          </w:rPr>
          <w:fldChar w:fldCharType="begin"/>
        </w:r>
        <w:r w:rsidR="00CE73AA" w:rsidRPr="00CE73AA">
          <w:rPr>
            <w:rFonts w:asciiTheme="majorHAnsi" w:hAnsiTheme="majorHAnsi"/>
          </w:rPr>
          <w:instrText xml:space="preserve"> PAGE   \* MERGEFORMAT </w:instrText>
        </w:r>
        <w:r w:rsidRPr="00CE73AA">
          <w:rPr>
            <w:rFonts w:asciiTheme="majorHAnsi" w:hAnsiTheme="majorHAnsi"/>
          </w:rPr>
          <w:fldChar w:fldCharType="separate"/>
        </w:r>
        <w:r w:rsidR="00665101">
          <w:rPr>
            <w:rFonts w:asciiTheme="majorHAnsi" w:hAnsiTheme="majorHAnsi"/>
            <w:noProof/>
          </w:rPr>
          <w:t>2</w:t>
        </w:r>
        <w:r w:rsidRPr="00CE73AA">
          <w:rPr>
            <w:rFonts w:asciiTheme="majorHAnsi" w:hAnsiTheme="majorHAnsi"/>
          </w:rPr>
          <w:fldChar w:fldCharType="end"/>
        </w:r>
      </w:sdtContent>
    </w:sdt>
  </w:p>
  <w:p w:rsidR="00CE73AA" w:rsidRPr="00CE73AA" w:rsidRDefault="00750902" w:rsidP="00CE73AA">
    <w:pPr>
      <w:pStyle w:val="Kopfzeile"/>
      <w:tabs>
        <w:tab w:val="clear" w:pos="4536"/>
        <w:tab w:val="clear" w:pos="9072"/>
        <w:tab w:val="left" w:pos="1920"/>
      </w:tabs>
    </w:pP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margin-left:-3.35pt;margin-top:3.05pt;width:462pt;height:.05pt;flip:x;z-index:251660288" o:connectortype="straight"/>
      </w:pict>
    </w:r>
  </w:p>
  <w:p w:rsidR="00CE73AA" w:rsidRDefault="00CE73AA" w:rsidP="00CE73AA">
    <w:pPr>
      <w:pStyle w:val="Kopfzeile"/>
      <w:tabs>
        <w:tab w:val="clear" w:pos="4536"/>
        <w:tab w:val="clear" w:pos="9072"/>
        <w:tab w:val="left" w:pos="19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175C1"/>
    <w:multiLevelType w:val="hybridMultilevel"/>
    <w:tmpl w:val="47107C70"/>
    <w:lvl w:ilvl="0" w:tplc="FDFA2552">
      <w:start w:val="1"/>
      <w:numFmt w:val="lowerLetter"/>
      <w:lvlText w:val="(%1)"/>
      <w:lvlJc w:val="left"/>
      <w:pPr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1CE66A2A"/>
    <w:multiLevelType w:val="hybridMultilevel"/>
    <w:tmpl w:val="7F8A590A"/>
    <w:lvl w:ilvl="0" w:tplc="816C863E">
      <w:start w:val="1"/>
      <w:numFmt w:val="lowerLetter"/>
      <w:lvlText w:val="(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3"/>
      <o:rules v:ext="edit">
        <o:r id="V:Rule2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F4A44"/>
    <w:rsid w:val="001461C9"/>
    <w:rsid w:val="001A2281"/>
    <w:rsid w:val="001F0638"/>
    <w:rsid w:val="00331EC8"/>
    <w:rsid w:val="00385FC9"/>
    <w:rsid w:val="00516CB1"/>
    <w:rsid w:val="005569A2"/>
    <w:rsid w:val="005A32BD"/>
    <w:rsid w:val="00665101"/>
    <w:rsid w:val="006C32AC"/>
    <w:rsid w:val="00750902"/>
    <w:rsid w:val="0083402E"/>
    <w:rsid w:val="008C1DC0"/>
    <w:rsid w:val="008D5955"/>
    <w:rsid w:val="008F4A44"/>
    <w:rsid w:val="00992DF1"/>
    <w:rsid w:val="009C761D"/>
    <w:rsid w:val="00A42A33"/>
    <w:rsid w:val="00A800EE"/>
    <w:rsid w:val="00CE73AA"/>
    <w:rsid w:val="00DA0512"/>
    <w:rsid w:val="00E61DE0"/>
    <w:rsid w:val="00F85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2281"/>
  </w:style>
  <w:style w:type="paragraph" w:styleId="berschrift1">
    <w:name w:val="heading 1"/>
    <w:basedOn w:val="Standard"/>
    <w:next w:val="Standard"/>
    <w:link w:val="berschrift1Zchn"/>
    <w:uiPriority w:val="9"/>
    <w:rsid w:val="00F853BB"/>
    <w:pPr>
      <w:keepNext/>
      <w:outlineLvl w:val="0"/>
    </w:pPr>
    <w:rPr>
      <w:rFonts w:ascii="Arial" w:eastAsiaTheme="majorEastAsia" w:hAnsi="Arial" w:cstheme="majorBidi"/>
      <w:b/>
      <w:bCs/>
      <w:kern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853BB"/>
    <w:rPr>
      <w:rFonts w:ascii="Arial" w:eastAsiaTheme="majorEastAsia" w:hAnsi="Arial" w:cstheme="majorBidi"/>
      <w:b/>
      <w:bCs/>
      <w:kern w:val="32"/>
      <w:sz w:val="22"/>
      <w:szCs w:val="3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4A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4A4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42A3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CE73A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E73AA"/>
  </w:style>
  <w:style w:type="paragraph" w:styleId="Fuzeile">
    <w:name w:val="footer"/>
    <w:basedOn w:val="Standard"/>
    <w:link w:val="FuzeileZchn"/>
    <w:uiPriority w:val="99"/>
    <w:semiHidden/>
    <w:unhideWhenUsed/>
    <w:rsid w:val="00CE73A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E73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901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13</cp:revision>
  <dcterms:created xsi:type="dcterms:W3CDTF">2013-07-29T16:34:00Z</dcterms:created>
  <dcterms:modified xsi:type="dcterms:W3CDTF">2013-08-12T16:11:00Z</dcterms:modified>
</cp:coreProperties>
</file>