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4E" w:rsidRDefault="00971F4E" w:rsidP="00971F4E">
      <w:pPr>
        <w:pStyle w:val="berschrift2"/>
        <w:numPr>
          <w:ilvl w:val="0"/>
          <w:numId w:val="0"/>
        </w:numPr>
        <w:ind w:left="576"/>
      </w:pPr>
      <w:bookmarkStart w:id="0" w:name="_Toc364171322"/>
      <w:r>
        <w:t xml:space="preserve">V 4 – </w:t>
      </w:r>
      <w:proofErr w:type="spellStart"/>
      <w:r>
        <w:t>Daniell</w:t>
      </w:r>
      <w:proofErr w:type="spellEnd"/>
      <w:r>
        <w:t>-Element</w:t>
      </w:r>
      <w:bookmarkEnd w:id="0"/>
    </w:p>
    <w:p w:rsidR="00971F4E" w:rsidRDefault="00971F4E" w:rsidP="00971F4E">
      <w:r>
        <w:rPr>
          <w:noProof/>
          <w:lang w:eastAsia="de-DE"/>
        </w:rPr>
      </w:r>
      <w:r>
        <w:pict>
          <v:shapetype id="_x0000_t202" coordsize="21600,21600" o:spt="202" path="m,l,21600r21600,l21600,xe">
            <v:stroke joinstyle="miter"/>
            <v:path gradientshapeok="t" o:connecttype="rect"/>
          </v:shapetype>
          <v:shape id="_x0000_s1035" type="#_x0000_t202" style="width:462.45pt;height:67.15pt;mso-position-horizontal-relative:char;mso-position-vertical-relative:line;mso-width-relative:margin;mso-height-relative:margin" strokecolor="#4bacc6" strokeweight="1pt">
            <v:stroke dashstyle="dash"/>
            <v:shadow color="#868686"/>
            <v:textbox style="mso-next-textbox:#_x0000_s1035">
              <w:txbxContent>
                <w:p w:rsidR="00971F4E" w:rsidRDefault="00971F4E" w:rsidP="00971F4E">
                  <w:r>
                    <w:t>Ziel dieses Versuches ist, den Elektronenübergang bei Redoxreaktion zu verdeutlichen. Die SuS sollten die Metalle Zink und Kupfer sowie deren Eigenschaften, wie zum Beispiel die Farbe der Salzlösungen, bereits kennen gelernt h</w:t>
                  </w:r>
                  <w:r>
                    <w:t>a</w:t>
                  </w:r>
                  <w:r>
                    <w:t>ben.</w:t>
                  </w:r>
                </w:p>
                <w:p w:rsidR="00971F4E" w:rsidRDefault="00971F4E" w:rsidP="00971F4E"/>
                <w:p w:rsidR="00971F4E" w:rsidRDefault="00971F4E" w:rsidP="00971F4E"/>
                <w:p w:rsidR="00971F4E" w:rsidRDefault="00971F4E" w:rsidP="00971F4E"/>
                <w:p w:rsidR="00971F4E" w:rsidRDefault="00971F4E" w:rsidP="00971F4E"/>
                <w:p w:rsidR="00971F4E" w:rsidRDefault="00971F4E" w:rsidP="00971F4E"/>
                <w:p w:rsidR="00971F4E" w:rsidRDefault="00971F4E" w:rsidP="00971F4E"/>
                <w:p w:rsidR="00971F4E" w:rsidRDefault="00971F4E" w:rsidP="00971F4E"/>
                <w:p w:rsidR="00971F4E" w:rsidRDefault="00971F4E" w:rsidP="00971F4E"/>
                <w:p w:rsidR="00971F4E" w:rsidRDefault="00971F4E" w:rsidP="00971F4E"/>
                <w:p w:rsidR="00971F4E" w:rsidRDefault="00971F4E" w:rsidP="00971F4E"/>
                <w:p w:rsidR="00971F4E" w:rsidRDefault="00971F4E" w:rsidP="00971F4E"/>
                <w:p w:rsidR="00971F4E" w:rsidRDefault="00971F4E" w:rsidP="00971F4E"/>
                <w:p w:rsidR="00971F4E" w:rsidRDefault="00971F4E" w:rsidP="00971F4E"/>
                <w:p w:rsidR="00971F4E" w:rsidRDefault="00971F4E" w:rsidP="00971F4E"/>
                <w:p w:rsidR="00971F4E" w:rsidRDefault="00971F4E" w:rsidP="00971F4E"/>
                <w:p w:rsidR="00971F4E" w:rsidRDefault="00971F4E" w:rsidP="00971F4E"/>
                <w:p w:rsidR="00971F4E" w:rsidRPr="00886CE9" w:rsidRDefault="00971F4E" w:rsidP="00971F4E">
                  <w:r>
                    <w:t>.</w:t>
                  </w:r>
                </w:p>
              </w:txbxContent>
            </v:textbox>
            <w10:wrap type="none"/>
            <w10:anchorlock/>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71F4E" w:rsidRPr="00A60ED7" w:rsidTr="00223F91">
        <w:tc>
          <w:tcPr>
            <w:tcW w:w="9322" w:type="dxa"/>
            <w:gridSpan w:val="9"/>
            <w:shd w:val="clear" w:color="auto" w:fill="4F81BD"/>
            <w:vAlign w:val="center"/>
          </w:tcPr>
          <w:p w:rsidR="00971F4E" w:rsidRPr="00A60ED7" w:rsidRDefault="00971F4E" w:rsidP="00223F91">
            <w:pPr>
              <w:spacing w:after="0"/>
              <w:jc w:val="center"/>
              <w:rPr>
                <w:b/>
                <w:bCs/>
              </w:rPr>
            </w:pPr>
            <w:r w:rsidRPr="00A60ED7">
              <w:rPr>
                <w:b/>
                <w:bCs/>
              </w:rPr>
              <w:t>Gefahrenstoffe</w:t>
            </w:r>
          </w:p>
        </w:tc>
      </w:tr>
      <w:tr w:rsidR="00971F4E" w:rsidRPr="00A60ED7" w:rsidTr="00223F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71F4E" w:rsidRPr="00A60ED7" w:rsidRDefault="00971F4E" w:rsidP="00223F91">
            <w:pPr>
              <w:spacing w:after="0" w:line="276" w:lineRule="auto"/>
              <w:jc w:val="center"/>
              <w:rPr>
                <w:b/>
                <w:bCs/>
              </w:rPr>
            </w:pPr>
            <w:r w:rsidRPr="00A60ED7">
              <w:rPr>
                <w:sz w:val="20"/>
              </w:rPr>
              <w:t>Kupfersulfat</w:t>
            </w:r>
          </w:p>
        </w:tc>
        <w:tc>
          <w:tcPr>
            <w:tcW w:w="3177" w:type="dxa"/>
            <w:gridSpan w:val="3"/>
            <w:tcBorders>
              <w:top w:val="single" w:sz="8" w:space="0" w:color="4F81BD"/>
              <w:bottom w:val="single" w:sz="8" w:space="0" w:color="4F81BD"/>
            </w:tcBorders>
            <w:shd w:val="clear" w:color="auto" w:fill="auto"/>
            <w:vAlign w:val="center"/>
          </w:tcPr>
          <w:p w:rsidR="00971F4E" w:rsidRPr="00971F4E" w:rsidRDefault="00971F4E" w:rsidP="00223F91">
            <w:pPr>
              <w:spacing w:after="0"/>
              <w:jc w:val="center"/>
              <w:rPr>
                <w:color w:val="auto"/>
              </w:rPr>
            </w:pPr>
            <w:r w:rsidRPr="00971F4E">
              <w:rPr>
                <w:color w:val="auto"/>
                <w:sz w:val="20"/>
              </w:rPr>
              <w:t xml:space="preserve">H: </w:t>
            </w:r>
            <w:hyperlink r:id="rId5" w:anchor="H-S.C3.A4tze" w:tooltip="H- und P-Sätze" w:history="1">
              <w:r w:rsidRPr="00971F4E">
                <w:rPr>
                  <w:rStyle w:val="Hyperlink"/>
                  <w:color w:val="auto"/>
                  <w:sz w:val="20"/>
                  <w:u w:val="none"/>
                </w:rPr>
                <w:t>332</w:t>
              </w:r>
            </w:hyperlink>
            <w:r w:rsidRPr="00971F4E">
              <w:rPr>
                <w:color w:val="auto"/>
                <w:sz w:val="20"/>
              </w:rPr>
              <w:t>-</w:t>
            </w:r>
            <w:hyperlink r:id="rId6" w:anchor="H-S.C3.A4tze" w:tooltip="H- und P-Sätze" w:history="1">
              <w:r w:rsidRPr="00971F4E">
                <w:rPr>
                  <w:rStyle w:val="Hyperlink"/>
                  <w:color w:val="auto"/>
                  <w:sz w:val="20"/>
                  <w:u w:val="none"/>
                </w:rPr>
                <w:t>302</w:t>
              </w:r>
            </w:hyperlink>
            <w:r w:rsidRPr="00971F4E">
              <w:rPr>
                <w:color w:val="auto"/>
                <w:sz w:val="20"/>
              </w:rPr>
              <w:t>-</w:t>
            </w:r>
            <w:hyperlink r:id="rId7" w:anchor="H-S.C3.A4tze" w:tooltip="H- und P-Sätze" w:history="1">
              <w:r w:rsidRPr="00971F4E">
                <w:rPr>
                  <w:rStyle w:val="Hyperlink"/>
                  <w:color w:val="auto"/>
                  <w:sz w:val="20"/>
                  <w:u w:val="none"/>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71F4E" w:rsidRPr="00971F4E" w:rsidRDefault="00971F4E" w:rsidP="00223F91">
            <w:pPr>
              <w:spacing w:after="0"/>
              <w:jc w:val="center"/>
              <w:rPr>
                <w:color w:val="auto"/>
              </w:rPr>
            </w:pPr>
            <w:r w:rsidRPr="00971F4E">
              <w:rPr>
                <w:color w:val="auto"/>
                <w:sz w:val="20"/>
              </w:rPr>
              <w:t xml:space="preserve">P: </w:t>
            </w:r>
            <w:hyperlink r:id="rId8" w:anchor="P-S.C3.A4tze" w:tooltip="H- und P-Sätze" w:history="1">
              <w:r w:rsidRPr="00971F4E">
                <w:rPr>
                  <w:rStyle w:val="Hyperlink"/>
                  <w:color w:val="auto"/>
                  <w:sz w:val="20"/>
                  <w:u w:val="none"/>
                </w:rPr>
                <w:t>280</w:t>
              </w:r>
            </w:hyperlink>
            <w:r w:rsidRPr="00971F4E">
              <w:rPr>
                <w:color w:val="auto"/>
                <w:sz w:val="20"/>
              </w:rPr>
              <w:t>-​</w:t>
            </w:r>
            <w:hyperlink r:id="rId9" w:anchor="P-S.C3.A4tze" w:tooltip="H- und P-Sätze" w:history="1">
              <w:r w:rsidRPr="00971F4E">
                <w:rPr>
                  <w:rStyle w:val="Hyperlink"/>
                  <w:color w:val="auto"/>
                  <w:sz w:val="20"/>
                  <w:u w:val="none"/>
                </w:rPr>
                <w:t>301+330+331</w:t>
              </w:r>
            </w:hyperlink>
          </w:p>
        </w:tc>
      </w:tr>
      <w:tr w:rsidR="00971F4E" w:rsidRPr="00A60ED7" w:rsidTr="00223F91">
        <w:trPr>
          <w:trHeight w:val="434"/>
        </w:trPr>
        <w:tc>
          <w:tcPr>
            <w:tcW w:w="3027" w:type="dxa"/>
            <w:gridSpan w:val="3"/>
            <w:shd w:val="clear" w:color="auto" w:fill="auto"/>
            <w:vAlign w:val="center"/>
          </w:tcPr>
          <w:p w:rsidR="00971F4E" w:rsidRPr="00A60ED7" w:rsidRDefault="00971F4E" w:rsidP="00223F91">
            <w:pPr>
              <w:spacing w:after="0" w:line="276" w:lineRule="auto"/>
              <w:jc w:val="center"/>
              <w:rPr>
                <w:bCs/>
                <w:sz w:val="20"/>
              </w:rPr>
            </w:pPr>
            <w:r w:rsidRPr="00A60ED7">
              <w:rPr>
                <w:color w:val="auto"/>
                <w:sz w:val="20"/>
                <w:szCs w:val="20"/>
              </w:rPr>
              <w:t>Zinksulfat</w:t>
            </w:r>
          </w:p>
        </w:tc>
        <w:tc>
          <w:tcPr>
            <w:tcW w:w="3177" w:type="dxa"/>
            <w:gridSpan w:val="3"/>
            <w:shd w:val="clear" w:color="auto" w:fill="auto"/>
            <w:vAlign w:val="center"/>
          </w:tcPr>
          <w:p w:rsidR="00971F4E" w:rsidRPr="00971F4E" w:rsidRDefault="00971F4E" w:rsidP="00223F91">
            <w:pPr>
              <w:pStyle w:val="Beschriftung"/>
              <w:spacing w:after="0"/>
              <w:jc w:val="center"/>
              <w:rPr>
                <w:sz w:val="20"/>
              </w:rPr>
            </w:pPr>
            <w:r w:rsidRPr="00971F4E">
              <w:rPr>
                <w:sz w:val="20"/>
              </w:rPr>
              <w:t xml:space="preserve">H: </w:t>
            </w:r>
            <w:hyperlink r:id="rId10" w:anchor="H-S.C3.A4tze" w:tooltip="H- und P-Sätze" w:history="1">
              <w:r w:rsidRPr="00971F4E">
                <w:rPr>
                  <w:rStyle w:val="Hyperlink"/>
                  <w:color w:val="auto"/>
                  <w:sz w:val="20"/>
                  <w:u w:val="none"/>
                </w:rPr>
                <w:t>332</w:t>
              </w:r>
            </w:hyperlink>
            <w:r w:rsidRPr="00971F4E">
              <w:rPr>
                <w:sz w:val="20"/>
              </w:rPr>
              <w:t>-</w:t>
            </w:r>
            <w:hyperlink r:id="rId11" w:anchor="H-S.C3.A4tze" w:tooltip="H- und P-Sätze" w:history="1">
              <w:r w:rsidRPr="00971F4E">
                <w:rPr>
                  <w:rStyle w:val="Hyperlink"/>
                  <w:color w:val="auto"/>
                  <w:sz w:val="20"/>
                  <w:u w:val="none"/>
                </w:rPr>
                <w:t>312</w:t>
              </w:r>
            </w:hyperlink>
            <w:r w:rsidRPr="00971F4E">
              <w:rPr>
                <w:sz w:val="20"/>
              </w:rPr>
              <w:t>-</w:t>
            </w:r>
            <w:hyperlink r:id="rId12" w:anchor="H-S.C3.A4tze" w:tooltip="H- und P-Sätze" w:history="1">
              <w:r w:rsidRPr="00971F4E">
                <w:rPr>
                  <w:rStyle w:val="Hyperlink"/>
                  <w:color w:val="auto"/>
                  <w:sz w:val="20"/>
                  <w:u w:val="none"/>
                </w:rPr>
                <w:t>302</w:t>
              </w:r>
            </w:hyperlink>
            <w:r w:rsidRPr="00971F4E">
              <w:rPr>
                <w:sz w:val="20"/>
              </w:rPr>
              <w:t>-</w:t>
            </w:r>
            <w:hyperlink r:id="rId13" w:anchor="H-S.C3.A4tze" w:tooltip="H- und P-Sätze" w:history="1">
              <w:r w:rsidRPr="00971F4E">
                <w:rPr>
                  <w:rStyle w:val="Hyperlink"/>
                  <w:color w:val="auto"/>
                  <w:sz w:val="20"/>
                  <w:u w:val="none"/>
                </w:rPr>
                <w:t>412</w:t>
              </w:r>
            </w:hyperlink>
          </w:p>
        </w:tc>
        <w:tc>
          <w:tcPr>
            <w:tcW w:w="3118" w:type="dxa"/>
            <w:gridSpan w:val="3"/>
            <w:shd w:val="clear" w:color="auto" w:fill="auto"/>
            <w:vAlign w:val="center"/>
          </w:tcPr>
          <w:p w:rsidR="00971F4E" w:rsidRPr="00971F4E" w:rsidRDefault="00971F4E" w:rsidP="00223F91">
            <w:pPr>
              <w:pStyle w:val="Beschriftung"/>
              <w:spacing w:after="0"/>
              <w:jc w:val="center"/>
              <w:rPr>
                <w:sz w:val="20"/>
              </w:rPr>
            </w:pPr>
            <w:r w:rsidRPr="00971F4E">
              <w:rPr>
                <w:sz w:val="20"/>
              </w:rPr>
              <w:t xml:space="preserve">P: </w:t>
            </w:r>
            <w:hyperlink r:id="rId14" w:anchor="P-S.C3.A4tze" w:tooltip="H- und P-Sätze" w:history="1">
              <w:r w:rsidRPr="00971F4E">
                <w:rPr>
                  <w:rStyle w:val="Hyperlink"/>
                  <w:color w:val="auto"/>
                  <w:sz w:val="20"/>
                  <w:u w:val="none"/>
                </w:rPr>
                <w:t>273</w:t>
              </w:r>
            </w:hyperlink>
            <w:r w:rsidRPr="00971F4E">
              <w:rPr>
                <w:sz w:val="20"/>
              </w:rPr>
              <w:t>-​</w:t>
            </w:r>
            <w:hyperlink r:id="rId15" w:anchor="P-S.C3.A4tze" w:tooltip="H- und P-Sätze" w:history="1">
              <w:r w:rsidRPr="00971F4E">
                <w:rPr>
                  <w:rStyle w:val="Hyperlink"/>
                  <w:color w:val="auto"/>
                  <w:sz w:val="20"/>
                  <w:u w:val="none"/>
                </w:rPr>
                <w:t>302+352</w:t>
              </w:r>
            </w:hyperlink>
          </w:p>
        </w:tc>
      </w:tr>
      <w:tr w:rsidR="00971F4E" w:rsidRPr="00A60ED7" w:rsidTr="00223F91">
        <w:tc>
          <w:tcPr>
            <w:tcW w:w="1009" w:type="dxa"/>
            <w:tcBorders>
              <w:top w:val="single" w:sz="8" w:space="0" w:color="4F81BD"/>
              <w:left w:val="single" w:sz="8" w:space="0" w:color="4F81BD"/>
              <w:bottom w:val="single" w:sz="8" w:space="0" w:color="4F81BD"/>
            </w:tcBorders>
            <w:shd w:val="clear" w:color="auto" w:fill="auto"/>
            <w:vAlign w:val="center"/>
          </w:tcPr>
          <w:p w:rsidR="00971F4E" w:rsidRPr="00A60ED7" w:rsidRDefault="00971F4E" w:rsidP="00223F91">
            <w:pPr>
              <w:spacing w:after="0"/>
              <w:jc w:val="center"/>
              <w:rPr>
                <w:b/>
                <w:bCs/>
              </w:rPr>
            </w:pPr>
            <w:r>
              <w:rPr>
                <w:b/>
                <w:noProof/>
                <w:lang w:eastAsia="de-DE"/>
              </w:rPr>
              <w:drawing>
                <wp:inline distT="0" distB="0" distL="0" distR="0">
                  <wp:extent cx="499745" cy="499745"/>
                  <wp:effectExtent l="19050" t="0" r="0" b="0"/>
                  <wp:docPr id="61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6"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71F4E" w:rsidRPr="00A60ED7" w:rsidRDefault="00971F4E" w:rsidP="00223F91">
            <w:pPr>
              <w:spacing w:after="0"/>
              <w:jc w:val="center"/>
            </w:pPr>
            <w:r>
              <w:rPr>
                <w:noProof/>
                <w:lang w:eastAsia="de-DE"/>
              </w:rPr>
              <w:drawing>
                <wp:inline distT="0" distB="0" distL="0" distR="0">
                  <wp:extent cx="499745" cy="499745"/>
                  <wp:effectExtent l="19050" t="0" r="0" b="0"/>
                  <wp:docPr id="61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7"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71F4E" w:rsidRPr="00A60ED7" w:rsidRDefault="00971F4E" w:rsidP="00223F91">
            <w:pPr>
              <w:spacing w:after="0"/>
              <w:jc w:val="center"/>
            </w:pPr>
            <w:r>
              <w:rPr>
                <w:noProof/>
                <w:lang w:eastAsia="de-DE"/>
              </w:rPr>
              <w:drawing>
                <wp:inline distT="0" distB="0" distL="0" distR="0">
                  <wp:extent cx="499745" cy="499745"/>
                  <wp:effectExtent l="19050" t="0" r="0" b="0"/>
                  <wp:docPr id="61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8"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71F4E" w:rsidRPr="00A60ED7" w:rsidRDefault="00971F4E" w:rsidP="00223F91">
            <w:pPr>
              <w:spacing w:after="0"/>
              <w:jc w:val="center"/>
            </w:pPr>
            <w:r>
              <w:rPr>
                <w:noProof/>
                <w:lang w:eastAsia="de-DE"/>
              </w:rPr>
              <w:drawing>
                <wp:inline distT="0" distB="0" distL="0" distR="0">
                  <wp:extent cx="499745" cy="499745"/>
                  <wp:effectExtent l="19050" t="0" r="0" b="0"/>
                  <wp:docPr id="6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9"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71F4E" w:rsidRPr="00A60ED7" w:rsidRDefault="00971F4E" w:rsidP="00223F91">
            <w:pPr>
              <w:spacing w:after="0"/>
              <w:jc w:val="center"/>
            </w:pPr>
            <w:r>
              <w:rPr>
                <w:noProof/>
                <w:lang w:eastAsia="de-DE"/>
              </w:rPr>
              <w:drawing>
                <wp:inline distT="0" distB="0" distL="0" distR="0">
                  <wp:extent cx="499745" cy="499745"/>
                  <wp:effectExtent l="19050" t="0" r="0" b="0"/>
                  <wp:docPr id="61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0"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71F4E" w:rsidRPr="00A60ED7" w:rsidRDefault="00971F4E" w:rsidP="00223F91">
            <w:pPr>
              <w:spacing w:after="0"/>
              <w:jc w:val="center"/>
            </w:pPr>
            <w:r>
              <w:rPr>
                <w:noProof/>
                <w:lang w:eastAsia="de-DE"/>
              </w:rPr>
              <w:drawing>
                <wp:inline distT="0" distB="0" distL="0" distR="0">
                  <wp:extent cx="499745" cy="499745"/>
                  <wp:effectExtent l="19050" t="0" r="0" b="0"/>
                  <wp:docPr id="62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1"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71F4E" w:rsidRPr="00A60ED7" w:rsidRDefault="00971F4E" w:rsidP="00223F91">
            <w:pPr>
              <w:spacing w:after="0"/>
              <w:jc w:val="center"/>
            </w:pPr>
            <w:r>
              <w:rPr>
                <w:noProof/>
                <w:lang w:eastAsia="de-DE"/>
              </w:rPr>
              <w:drawing>
                <wp:inline distT="0" distB="0" distL="0" distR="0">
                  <wp:extent cx="499745" cy="499745"/>
                  <wp:effectExtent l="19050" t="0" r="0" b="0"/>
                  <wp:docPr id="62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2"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71F4E" w:rsidRPr="00A60ED7" w:rsidRDefault="00971F4E" w:rsidP="00223F91">
            <w:pPr>
              <w:spacing w:after="0"/>
              <w:jc w:val="center"/>
            </w:pPr>
            <w:r>
              <w:rPr>
                <w:noProof/>
                <w:lang w:eastAsia="de-DE"/>
              </w:rPr>
              <w:drawing>
                <wp:inline distT="0" distB="0" distL="0" distR="0">
                  <wp:extent cx="510540" cy="510540"/>
                  <wp:effectExtent l="19050" t="0" r="3810" b="0"/>
                  <wp:docPr id="62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3" cstate="print"/>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71F4E" w:rsidRPr="00A60ED7" w:rsidRDefault="00971F4E" w:rsidP="00223F91">
            <w:pPr>
              <w:spacing w:after="0"/>
              <w:jc w:val="center"/>
            </w:pPr>
            <w:r>
              <w:rPr>
                <w:noProof/>
                <w:lang w:eastAsia="de-DE"/>
              </w:rPr>
              <w:drawing>
                <wp:inline distT="0" distB="0" distL="0" distR="0">
                  <wp:extent cx="499745" cy="499745"/>
                  <wp:effectExtent l="19050" t="0" r="0" b="0"/>
                  <wp:docPr id="62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4"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r>
    </w:tbl>
    <w:p w:rsidR="00971F4E" w:rsidRDefault="00971F4E" w:rsidP="00971F4E">
      <w:pPr>
        <w:tabs>
          <w:tab w:val="left" w:pos="1701"/>
          <w:tab w:val="left" w:pos="1985"/>
        </w:tabs>
        <w:ind w:left="1980" w:hanging="1980"/>
      </w:pPr>
    </w:p>
    <w:p w:rsidR="00971F4E" w:rsidRDefault="00971F4E" w:rsidP="00971F4E">
      <w:pPr>
        <w:tabs>
          <w:tab w:val="left" w:pos="1701"/>
          <w:tab w:val="left" w:pos="1985"/>
        </w:tabs>
        <w:ind w:left="1980" w:hanging="1980"/>
      </w:pPr>
      <w:r>
        <w:t xml:space="preserve">Materialien: </w:t>
      </w:r>
      <w:r>
        <w:tab/>
      </w:r>
      <w:r>
        <w:tab/>
        <w:t>2 250 ml Bechergläser, kleiner Gleichstromelektromotor, Zinkblech, Kupferblech, 2 K</w:t>
      </w:r>
      <w:r>
        <w:t>a</w:t>
      </w:r>
      <w:r>
        <w:t>bel, Filterpapierstreifen</w:t>
      </w:r>
    </w:p>
    <w:p w:rsidR="00971F4E" w:rsidRPr="00ED07C2" w:rsidRDefault="00971F4E" w:rsidP="00971F4E">
      <w:pPr>
        <w:tabs>
          <w:tab w:val="left" w:pos="1701"/>
          <w:tab w:val="left" w:pos="1985"/>
        </w:tabs>
        <w:ind w:left="1980" w:hanging="1980"/>
      </w:pPr>
      <w:r>
        <w:t>Chemikalien:</w:t>
      </w:r>
      <w:r>
        <w:tab/>
      </w:r>
      <w:r>
        <w:tab/>
        <w:t xml:space="preserve">1 M Kupfersulfat-Lösung, 1 M Zinksulfat-Lösung, </w:t>
      </w:r>
      <w:proofErr w:type="spellStart"/>
      <w:r>
        <w:t>konz</w:t>
      </w:r>
      <w:proofErr w:type="spellEnd"/>
      <w:r>
        <w:t>. Kaliumnitrat-Lösung</w:t>
      </w:r>
    </w:p>
    <w:p w:rsidR="00971F4E" w:rsidRDefault="00971F4E" w:rsidP="00971F4E">
      <w:pPr>
        <w:tabs>
          <w:tab w:val="left" w:pos="1701"/>
          <w:tab w:val="left" w:pos="1985"/>
        </w:tabs>
        <w:ind w:left="1980" w:hanging="1980"/>
      </w:pPr>
      <w:r>
        <w:t xml:space="preserve">Durchführung: </w:t>
      </w:r>
      <w:r>
        <w:tab/>
      </w:r>
      <w:r>
        <w:tab/>
      </w:r>
      <w:r>
        <w:tab/>
        <w:t xml:space="preserve">Der Filterpapierstreifen wird in </w:t>
      </w:r>
      <w:proofErr w:type="spellStart"/>
      <w:r>
        <w:t>konz</w:t>
      </w:r>
      <w:proofErr w:type="spellEnd"/>
      <w:r>
        <w:t>. Kaliumnitrat-Lösung gelegt. Ein Becherglas wird mit Kupfersulfat-Lösung und das a</w:t>
      </w:r>
      <w:r>
        <w:t>n</w:t>
      </w:r>
      <w:r>
        <w:t>dere mit Zinksulfat-Lösung bis zur Hälfte gefüllt. Anschließend werden das Zinkblech und das Kupferblech mit Hilfe der Kabel mit dem Elektromotor verbunden und in die entsprechende Sal</w:t>
      </w:r>
      <w:r>
        <w:t>z</w:t>
      </w:r>
      <w:r>
        <w:t>lösung gestellt. Der Filterpapierstreifen wird aus der Lösung genommen und als leitende Verbindung zwischen den zwei B</w:t>
      </w:r>
      <w:r>
        <w:t>e</w:t>
      </w:r>
      <w:r>
        <w:t>chergläsern eingesetzt. Hierfür positioniert man ihn so, dass jeweils ein Ende in eine der beiden Salzlösungen taucht.</w:t>
      </w:r>
    </w:p>
    <w:p w:rsidR="00971F4E" w:rsidRDefault="00971F4E" w:rsidP="00971F4E">
      <w:pPr>
        <w:tabs>
          <w:tab w:val="left" w:pos="1701"/>
          <w:tab w:val="left" w:pos="1985"/>
        </w:tabs>
        <w:ind w:left="1980" w:hanging="1980"/>
      </w:pPr>
      <w:r>
        <w:t>Beobachtung:</w:t>
      </w:r>
      <w:r>
        <w:tab/>
      </w:r>
      <w:r>
        <w:tab/>
      </w:r>
      <w:r>
        <w:tab/>
        <w:t>Beim Verbinden der beiden Bechergläser durch die Salzbrücke fängt das Rädchen an, sich zu drehen.</w:t>
      </w:r>
    </w:p>
    <w:p w:rsidR="00971F4E" w:rsidRDefault="00971F4E" w:rsidP="00971F4E">
      <w:pPr>
        <w:keepNext/>
        <w:tabs>
          <w:tab w:val="left" w:pos="1701"/>
          <w:tab w:val="left" w:pos="1985"/>
        </w:tabs>
        <w:ind w:left="1980" w:hanging="1980"/>
        <w:jc w:val="center"/>
      </w:pPr>
      <w:r>
        <w:rPr>
          <w:noProof/>
          <w:lang w:eastAsia="de-DE"/>
        </w:rPr>
        <w:lastRenderedPageBreak/>
        <w:drawing>
          <wp:inline distT="0" distB="0" distL="0" distR="0">
            <wp:extent cx="2711450" cy="2052320"/>
            <wp:effectExtent l="19050" t="0" r="0" b="0"/>
            <wp:docPr id="624" name="Bild 624" descr="WP_00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WP_001276"/>
                    <pic:cNvPicPr>
                      <a:picLocks noChangeAspect="1" noChangeArrowheads="1"/>
                    </pic:cNvPicPr>
                  </pic:nvPicPr>
                  <pic:blipFill>
                    <a:blip r:embed="rId25" cstate="print"/>
                    <a:srcRect/>
                    <a:stretch>
                      <a:fillRect/>
                    </a:stretch>
                  </pic:blipFill>
                  <pic:spPr bwMode="auto">
                    <a:xfrm>
                      <a:off x="0" y="0"/>
                      <a:ext cx="2711450" cy="2052320"/>
                    </a:xfrm>
                    <a:prstGeom prst="rect">
                      <a:avLst/>
                    </a:prstGeom>
                    <a:noFill/>
                    <a:ln w="9525">
                      <a:noFill/>
                      <a:miter lim="800000"/>
                      <a:headEnd/>
                      <a:tailEnd/>
                    </a:ln>
                  </pic:spPr>
                </pic:pic>
              </a:graphicData>
            </a:graphic>
          </wp:inline>
        </w:drawing>
      </w:r>
    </w:p>
    <w:p w:rsidR="00971F4E" w:rsidRDefault="00971F4E" w:rsidP="00971F4E">
      <w:pPr>
        <w:pStyle w:val="Beschriftung"/>
        <w:jc w:val="center"/>
      </w:pPr>
      <w:r>
        <w:t xml:space="preserve">Abb. 4 - </w:t>
      </w:r>
      <w:r>
        <w:rPr>
          <w:noProof/>
        </w:rPr>
        <w:t xml:space="preserve"> Daniell-Element</w:t>
      </w:r>
    </w:p>
    <w:p w:rsidR="00971F4E" w:rsidRDefault="00971F4E" w:rsidP="00971F4E">
      <w:pPr>
        <w:tabs>
          <w:tab w:val="left" w:pos="1701"/>
          <w:tab w:val="left" w:pos="1985"/>
        </w:tabs>
        <w:ind w:left="1980" w:hanging="1980"/>
      </w:pPr>
      <w:r>
        <w:t>Deutung:</w:t>
      </w:r>
      <w:r>
        <w:tab/>
      </w:r>
      <w:r>
        <w:tab/>
      </w:r>
      <w:r>
        <w:tab/>
        <w:t>Es findet eine Redoxreaktion statt. Die Zinkelektrode dient als Redukt</w:t>
      </w:r>
      <w:r>
        <w:t>i</w:t>
      </w:r>
      <w:r>
        <w:t>onsmittel und wird oxidiert. Die Kupfersulfat-Lösung dient als Oxidation</w:t>
      </w:r>
      <w:r>
        <w:t>s</w:t>
      </w:r>
      <w:r>
        <w:t>mittel, wobei die Kupfer-Ionen reduziert werden.</w:t>
      </w:r>
    </w:p>
    <w:p w:rsidR="00971F4E" w:rsidRDefault="00971F4E" w:rsidP="00971F4E">
      <w:pPr>
        <w:tabs>
          <w:tab w:val="left" w:pos="1701"/>
          <w:tab w:val="left" w:pos="1985"/>
        </w:tabs>
        <w:ind w:left="1980" w:hanging="1980"/>
        <w:rPr>
          <w:rFonts w:eastAsia="Times New Roman"/>
        </w:rPr>
      </w:pPr>
      <w:r>
        <w:tab/>
      </w:r>
      <w:r>
        <w:tab/>
      </w:r>
      <w:r>
        <w:object w:dxaOrig="5141" w:dyaOrig="1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pt;height:53.6pt" o:ole="">
            <v:imagedata r:id="rId26" o:title=""/>
          </v:shape>
          <o:OLEObject Type="Embed" ProgID="ACD.ChemSketch.20" ShapeID="_x0000_i1025" DrawAspect="Content" ObjectID="_1437999246" r:id="rId27"/>
        </w:object>
      </w:r>
    </w:p>
    <w:p w:rsidR="00971F4E" w:rsidRPr="00B2593A" w:rsidRDefault="00971F4E" w:rsidP="00971F4E">
      <w:pPr>
        <w:spacing w:line="276" w:lineRule="auto"/>
        <w:jc w:val="left"/>
        <w:rPr>
          <w:color w:val="auto"/>
        </w:rPr>
      </w:pPr>
      <w:r>
        <w:t>Literatur:</w:t>
      </w:r>
      <w:r>
        <w:tab/>
      </w:r>
      <w:r>
        <w:tab/>
        <w:t xml:space="preserve">Karl Häusler, Heribert </w:t>
      </w:r>
      <w:proofErr w:type="spellStart"/>
      <w:r>
        <w:t>Rampf</w:t>
      </w:r>
      <w:proofErr w:type="spellEnd"/>
      <w:r>
        <w:t xml:space="preserve">, Roland Reichelt, Experimente für den </w:t>
      </w:r>
      <w:proofErr w:type="spellStart"/>
      <w:r>
        <w:t>Ch</w:t>
      </w:r>
      <w:r>
        <w:t>e</w:t>
      </w:r>
      <w:proofErr w:type="spellEnd"/>
      <w:r>
        <w:tab/>
      </w:r>
      <w:r>
        <w:tab/>
      </w:r>
      <w:r>
        <w:tab/>
      </w:r>
      <w:proofErr w:type="spellStart"/>
      <w:r>
        <w:t>mieunterricht</w:t>
      </w:r>
      <w:proofErr w:type="spellEnd"/>
      <w:r>
        <w:t>, 2. Auflage, 1995, S. 183</w:t>
      </w:r>
    </w:p>
    <w:p w:rsidR="00971F4E" w:rsidRPr="00B2593A" w:rsidRDefault="00971F4E" w:rsidP="00971F4E">
      <w:pPr>
        <w:tabs>
          <w:tab w:val="left" w:pos="1701"/>
          <w:tab w:val="left" w:pos="1985"/>
        </w:tabs>
        <w:ind w:left="1980" w:hanging="1980"/>
        <w:rPr>
          <w:rFonts w:eastAsia="Times New Roman"/>
        </w:rPr>
      </w:pPr>
      <w:r w:rsidRPr="00786E45">
        <w:pict>
          <v:shape id="_x0000_s1033" type="#_x0000_t202" style="width:462.45pt;height:45.15pt;mso-position-horizontal-relative:char;mso-position-vertical-relative:line;mso-width-relative:margin;mso-height-relative:margin" strokecolor="#c0504d" strokeweight="1pt">
            <v:stroke dashstyle="dash"/>
            <v:shadow color="#868686"/>
            <v:textbox style="mso-next-textbox:#_x0000_s1033">
              <w:txbxContent>
                <w:p w:rsidR="00971F4E" w:rsidRPr="00B2593A" w:rsidRDefault="00971F4E" w:rsidP="00971F4E">
                  <w:pPr>
                    <w:rPr>
                      <w:color w:val="auto"/>
                    </w:rPr>
                  </w:pPr>
                  <w:r w:rsidRPr="00B2593A">
                    <w:rPr>
                      <w:color w:val="auto"/>
                    </w:rPr>
                    <w:t>Dieses Experiment kann mit anderen Halbzellen durchgeführt werden, um eine Verallgemein</w:t>
                  </w:r>
                  <w:r w:rsidRPr="00B2593A">
                    <w:rPr>
                      <w:color w:val="auto"/>
                    </w:rPr>
                    <w:t>e</w:t>
                  </w:r>
                  <w:r w:rsidRPr="00B2593A">
                    <w:rPr>
                      <w:color w:val="auto"/>
                    </w:rPr>
                    <w:t>rung dieses Versuchs zu stützen.</w:t>
                  </w:r>
                </w:p>
              </w:txbxContent>
            </v:textbox>
            <w10:wrap type="none"/>
            <w10:anchorlock/>
          </v:shape>
        </w:pict>
      </w:r>
    </w:p>
    <w:p w:rsidR="00571E98" w:rsidRDefault="00426C82"/>
    <w:sectPr w:rsidR="00571E98" w:rsidSect="008421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E6905"/>
    <w:rsid w:val="00007942"/>
    <w:rsid w:val="00065F38"/>
    <w:rsid w:val="000B2B21"/>
    <w:rsid w:val="00426C82"/>
    <w:rsid w:val="00480F6C"/>
    <w:rsid w:val="004E6905"/>
    <w:rsid w:val="005118B2"/>
    <w:rsid w:val="00532490"/>
    <w:rsid w:val="006D58AC"/>
    <w:rsid w:val="008421E2"/>
    <w:rsid w:val="00971F4E"/>
    <w:rsid w:val="009972F3"/>
    <w:rsid w:val="00A40FB1"/>
    <w:rsid w:val="00BF3520"/>
    <w:rsid w:val="00C5025D"/>
    <w:rsid w:val="00E7230F"/>
    <w:rsid w:val="00ED2F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1F4E"/>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971F4E"/>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971F4E"/>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971F4E"/>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971F4E"/>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971F4E"/>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971F4E"/>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971F4E"/>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971F4E"/>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971F4E"/>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F4E"/>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971F4E"/>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971F4E"/>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971F4E"/>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971F4E"/>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971F4E"/>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971F4E"/>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971F4E"/>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971F4E"/>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971F4E"/>
    <w:pPr>
      <w:spacing w:line="240" w:lineRule="auto"/>
    </w:pPr>
    <w:rPr>
      <w:bCs/>
      <w:color w:val="auto"/>
      <w:sz w:val="18"/>
      <w:szCs w:val="18"/>
    </w:rPr>
  </w:style>
  <w:style w:type="character" w:styleId="Hyperlink">
    <w:name w:val="Hyperlink"/>
    <w:basedOn w:val="Absatz-Standardschriftart"/>
    <w:uiPriority w:val="99"/>
    <w:unhideWhenUsed/>
    <w:rsid w:val="00971F4E"/>
    <w:rPr>
      <w:color w:val="0000FF"/>
      <w:u w:val="single"/>
    </w:rPr>
  </w:style>
  <w:style w:type="paragraph" w:styleId="Sprechblasentext">
    <w:name w:val="Balloon Text"/>
    <w:basedOn w:val="Standard"/>
    <w:link w:val="SprechblasentextZchn"/>
    <w:uiPriority w:val="99"/>
    <w:semiHidden/>
    <w:unhideWhenUsed/>
    <w:rsid w:val="00971F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F4E"/>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hyperlink" Target="http://de.wikipedia.org/wiki/H-_und_P-S%C3%A4tze" TargetMode="External"/><Relationship Id="rId18" Type="http://schemas.openxmlformats.org/officeDocument/2006/relationships/image" Target="media/image3.jpeg"/><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de.wikipedia.org/wiki/H-_und_P-S%C3%A4tze" TargetMode="External"/><Relationship Id="rId12" Type="http://schemas.openxmlformats.org/officeDocument/2006/relationships/hyperlink" Target="http://de.wikipedia.org/wiki/H-_und_P-S%C3%A4tze"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hyperlink" Target="http://de.wikipedia.org/wiki/H-_und_P-S%C3%A4tze" TargetMode="External"/><Relationship Id="rId24" Type="http://schemas.openxmlformats.org/officeDocument/2006/relationships/image" Target="media/image9.jpeg"/><Relationship Id="rId5" Type="http://schemas.openxmlformats.org/officeDocument/2006/relationships/hyperlink" Target="http://de.wikipedia.org/wiki/H-_und_P-S%C3%A4tze" TargetMode="External"/><Relationship Id="rId15" Type="http://schemas.openxmlformats.org/officeDocument/2006/relationships/hyperlink" Target="http://de.wikipedia.org/wiki/H-_und_P-S%C3%A4tze"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de.wikipedia.org/wiki/H-_und_P-S%C3%A4tz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hyperlink" Target="http://de.wikipedia.org/wiki/H-_und_P-S%C3%A4tze" TargetMode="External"/><Relationship Id="rId22" Type="http://schemas.openxmlformats.org/officeDocument/2006/relationships/image" Target="media/image7.jpeg"/><Relationship Id="rId27"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2245</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Prinzessin</dc:creator>
  <cp:lastModifiedBy>Prinzessin</cp:lastModifiedBy>
  <cp:revision>2</cp:revision>
  <dcterms:created xsi:type="dcterms:W3CDTF">2013-08-14T13:28:00Z</dcterms:created>
  <dcterms:modified xsi:type="dcterms:W3CDTF">2013-08-14T13:28:00Z</dcterms:modified>
</cp:coreProperties>
</file>