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DA8" w:rsidRDefault="00A07DA8" w:rsidP="00A07DA8">
      <w:pPr>
        <w:pStyle w:val="berschrift2"/>
        <w:numPr>
          <w:ilvl w:val="0"/>
          <w:numId w:val="0"/>
        </w:numPr>
        <w:ind w:left="576" w:hanging="576"/>
      </w:pPr>
      <w:bookmarkStart w:id="0" w:name="_Toc395714722"/>
      <w:r>
        <w:t xml:space="preserve">V 4 – </w:t>
      </w:r>
      <w:proofErr w:type="spellStart"/>
      <w:r>
        <w:t>Daniell</w:t>
      </w:r>
      <w:proofErr w:type="spellEnd"/>
      <w:r>
        <w:t>-Element</w:t>
      </w:r>
      <w:bookmarkEnd w:id="0"/>
    </w:p>
    <w:p w:rsidR="00A07DA8" w:rsidRDefault="00A07DA8" w:rsidP="00A07DA8">
      <w:r>
        <w:rPr>
          <w:noProof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3.45pt;margin-top:1.2pt;width:462.45pt;height:78.35pt;z-index:251661312;mso-width-relative:margin;mso-height-relative:margin" fillcolor="white [3201]" strokecolor="#4bacc6 [3208]" strokeweight="1pt">
            <v:stroke dashstyle="dash"/>
            <v:shadow color="#868686"/>
            <v:textbox style="mso-next-textbox:#_x0000_s1028">
              <w:txbxContent>
                <w:p w:rsidR="00A07DA8" w:rsidRPr="006F3B45" w:rsidRDefault="00A07DA8" w:rsidP="00A07DA8">
                  <w:pPr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Dieser Versuch befasst sich mit einer galvanischen Zelle aus einer Kupfer- und einer Zinkhal</w:t>
                  </w:r>
                  <w:r>
                    <w:rPr>
                      <w:color w:val="auto"/>
                    </w:rPr>
                    <w:t>b</w:t>
                  </w:r>
                  <w:r>
                    <w:rPr>
                      <w:color w:val="auto"/>
                    </w:rPr>
                    <w:t xml:space="preserve">zelle, dem </w:t>
                  </w:r>
                  <w:proofErr w:type="spellStart"/>
                  <w:r>
                    <w:rPr>
                      <w:color w:val="auto"/>
                    </w:rPr>
                    <w:t>Daniell</w:t>
                  </w:r>
                  <w:proofErr w:type="spellEnd"/>
                  <w:r>
                    <w:rPr>
                      <w:color w:val="auto"/>
                    </w:rPr>
                    <w:t xml:space="preserve">-Element. Die </w:t>
                  </w:r>
                  <w:proofErr w:type="spellStart"/>
                  <w:r>
                    <w:rPr>
                      <w:color w:val="auto"/>
                    </w:rPr>
                    <w:t>SuS</w:t>
                  </w:r>
                  <w:proofErr w:type="spellEnd"/>
                  <w:r>
                    <w:rPr>
                      <w:color w:val="auto"/>
                    </w:rPr>
                    <w:t xml:space="preserve"> sollen sich neben dem erweiterten </w:t>
                  </w:r>
                  <w:proofErr w:type="spellStart"/>
                  <w:r>
                    <w:rPr>
                      <w:color w:val="auto"/>
                    </w:rPr>
                    <w:t>Redoxbegriff</w:t>
                  </w:r>
                  <w:proofErr w:type="spellEnd"/>
                  <w:r>
                    <w:rPr>
                      <w:color w:val="auto"/>
                    </w:rPr>
                    <w:t xml:space="preserve"> in diesem Versuch mit dem Elektronenfluss beschäftigen. Begriffe wie Kathode und Anode sollten b</w:t>
                  </w:r>
                  <w:r>
                    <w:rPr>
                      <w:color w:val="auto"/>
                    </w:rPr>
                    <w:t>e</w:t>
                  </w:r>
                  <w:r>
                    <w:rPr>
                      <w:color w:val="auto"/>
                    </w:rPr>
                    <w:t>kannt sein.</w:t>
                  </w:r>
                </w:p>
                <w:p w:rsidR="00A07DA8" w:rsidRPr="000D10FB" w:rsidRDefault="00A07DA8" w:rsidP="00A07DA8">
                  <w:pPr>
                    <w:rPr>
                      <w:color w:val="1F497D" w:themeColor="text2"/>
                    </w:rPr>
                  </w:pPr>
                </w:p>
              </w:txbxContent>
            </v:textbox>
            <w10:wrap type="square"/>
          </v:shape>
        </w:pict>
      </w:r>
    </w:p>
    <w:tbl>
      <w:tblPr>
        <w:tblW w:w="9322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4A0"/>
      </w:tblPr>
      <w:tblGrid>
        <w:gridCol w:w="1009"/>
        <w:gridCol w:w="1009"/>
        <w:gridCol w:w="1009"/>
        <w:gridCol w:w="1009"/>
        <w:gridCol w:w="1175"/>
        <w:gridCol w:w="993"/>
        <w:gridCol w:w="975"/>
        <w:gridCol w:w="1009"/>
        <w:gridCol w:w="1134"/>
      </w:tblGrid>
      <w:tr w:rsidR="00A07DA8" w:rsidRPr="009C5E28" w:rsidTr="008514F8">
        <w:tc>
          <w:tcPr>
            <w:tcW w:w="9322" w:type="dxa"/>
            <w:gridSpan w:val="9"/>
            <w:shd w:val="clear" w:color="auto" w:fill="4F81BD"/>
            <w:vAlign w:val="center"/>
          </w:tcPr>
          <w:p w:rsidR="00A07DA8" w:rsidRPr="009C5E28" w:rsidRDefault="00A07DA8" w:rsidP="008514F8">
            <w:pPr>
              <w:spacing w:after="0"/>
              <w:jc w:val="center"/>
              <w:rPr>
                <w:b/>
                <w:bCs/>
              </w:rPr>
            </w:pPr>
            <w:r w:rsidRPr="009C5E28">
              <w:rPr>
                <w:b/>
                <w:bCs/>
              </w:rPr>
              <w:t>Gefahrenstoffe</w:t>
            </w:r>
          </w:p>
        </w:tc>
      </w:tr>
      <w:tr w:rsidR="00A07DA8" w:rsidRPr="009C5E28" w:rsidTr="008514F8">
        <w:trPr>
          <w:trHeight w:val="437"/>
        </w:trPr>
        <w:tc>
          <w:tcPr>
            <w:tcW w:w="3027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A07DA8" w:rsidRPr="00576F67" w:rsidRDefault="00A07DA8" w:rsidP="008514F8">
            <w:pPr>
              <w:spacing w:after="0" w:line="276" w:lineRule="auto"/>
              <w:jc w:val="center"/>
              <w:rPr>
                <w:bCs/>
              </w:rPr>
            </w:pPr>
            <w:r w:rsidRPr="00576F67">
              <w:rPr>
                <w:bCs/>
              </w:rPr>
              <w:t>Kupfersulfat</w:t>
            </w:r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P</w:t>
            </w:r>
            <w:r w:rsidRPr="00576F67">
              <w:rPr>
                <w:bCs/>
              </w:rPr>
              <w:t>entahydrat</w:t>
            </w:r>
            <w:proofErr w:type="spellEnd"/>
          </w:p>
        </w:tc>
        <w:tc>
          <w:tcPr>
            <w:tcW w:w="3177" w:type="dxa"/>
            <w:gridSpan w:val="3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A07DA8" w:rsidRPr="009C5E28" w:rsidRDefault="00A07DA8" w:rsidP="008514F8">
            <w:pPr>
              <w:spacing w:after="0"/>
              <w:jc w:val="center"/>
            </w:pPr>
            <w:r w:rsidRPr="009C5E28">
              <w:rPr>
                <w:sz w:val="20"/>
              </w:rPr>
              <w:t xml:space="preserve">H: </w:t>
            </w:r>
            <w:r>
              <w:rPr>
                <w:sz w:val="20"/>
              </w:rPr>
              <w:t>302-319-315-410</w:t>
            </w:r>
          </w:p>
        </w:tc>
        <w:tc>
          <w:tcPr>
            <w:tcW w:w="3118" w:type="dxa"/>
            <w:gridSpan w:val="3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A07DA8" w:rsidRPr="009C5E28" w:rsidRDefault="00A07DA8" w:rsidP="008514F8">
            <w:pPr>
              <w:spacing w:after="0"/>
              <w:jc w:val="center"/>
            </w:pPr>
            <w:r w:rsidRPr="009C5E28">
              <w:rPr>
                <w:sz w:val="20"/>
              </w:rPr>
              <w:t xml:space="preserve">P: </w:t>
            </w:r>
            <w:r>
              <w:rPr>
                <w:sz w:val="20"/>
              </w:rPr>
              <w:t>273-302+352-305+251+338</w:t>
            </w:r>
          </w:p>
        </w:tc>
      </w:tr>
      <w:tr w:rsidR="00A07DA8" w:rsidRPr="009C5E28" w:rsidTr="008514F8">
        <w:trPr>
          <w:trHeight w:val="437"/>
        </w:trPr>
        <w:tc>
          <w:tcPr>
            <w:tcW w:w="3027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A07DA8" w:rsidRPr="00576F67" w:rsidRDefault="00A07DA8" w:rsidP="008514F8">
            <w:pPr>
              <w:spacing w:after="0" w:line="276" w:lineRule="auto"/>
              <w:jc w:val="center"/>
              <w:rPr>
                <w:bCs/>
              </w:rPr>
            </w:pPr>
            <w:r w:rsidRPr="00576F67">
              <w:rPr>
                <w:bCs/>
              </w:rPr>
              <w:t>Zinksulfat</w:t>
            </w:r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H</w:t>
            </w:r>
            <w:r w:rsidRPr="00576F67">
              <w:rPr>
                <w:bCs/>
              </w:rPr>
              <w:t>exahydrat</w:t>
            </w:r>
            <w:proofErr w:type="spellEnd"/>
          </w:p>
        </w:tc>
        <w:tc>
          <w:tcPr>
            <w:tcW w:w="3177" w:type="dxa"/>
            <w:gridSpan w:val="3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A07DA8" w:rsidRPr="009C5E28" w:rsidRDefault="00A07DA8" w:rsidP="008514F8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H: 302-318-410</w:t>
            </w:r>
          </w:p>
        </w:tc>
        <w:tc>
          <w:tcPr>
            <w:tcW w:w="3118" w:type="dxa"/>
            <w:gridSpan w:val="3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A07DA8" w:rsidRPr="009C5E28" w:rsidRDefault="00A07DA8" w:rsidP="008514F8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P: 280-273-305+351+338</w:t>
            </w:r>
          </w:p>
        </w:tc>
      </w:tr>
      <w:tr w:rsidR="00A07DA8" w:rsidRPr="009C5E28" w:rsidTr="008514F8">
        <w:trPr>
          <w:trHeight w:val="437"/>
        </w:trPr>
        <w:tc>
          <w:tcPr>
            <w:tcW w:w="3027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A07DA8" w:rsidRPr="00576F67" w:rsidRDefault="00A07DA8" w:rsidP="008514F8">
            <w:pPr>
              <w:spacing w:after="0" w:line="276" w:lineRule="auto"/>
              <w:jc w:val="center"/>
              <w:rPr>
                <w:bCs/>
              </w:rPr>
            </w:pPr>
            <w:r w:rsidRPr="00576F67">
              <w:rPr>
                <w:bCs/>
              </w:rPr>
              <w:t>Kaliumnitrat</w:t>
            </w:r>
          </w:p>
        </w:tc>
        <w:tc>
          <w:tcPr>
            <w:tcW w:w="3177" w:type="dxa"/>
            <w:gridSpan w:val="3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A07DA8" w:rsidRPr="009C5E28" w:rsidRDefault="00A07DA8" w:rsidP="008514F8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H: 272</w:t>
            </w:r>
          </w:p>
        </w:tc>
        <w:tc>
          <w:tcPr>
            <w:tcW w:w="3118" w:type="dxa"/>
            <w:gridSpan w:val="3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A07DA8" w:rsidRPr="009C5E28" w:rsidRDefault="00A07DA8" w:rsidP="008514F8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P: 210</w:t>
            </w:r>
          </w:p>
        </w:tc>
      </w:tr>
      <w:tr w:rsidR="00A07DA8" w:rsidRPr="009C5E28" w:rsidTr="008514F8">
        <w:tc>
          <w:tcPr>
            <w:tcW w:w="10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A07DA8" w:rsidRPr="009C5E28" w:rsidRDefault="00A07DA8" w:rsidP="008514F8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  <w:lang w:eastAsia="de-DE"/>
              </w:rPr>
              <w:drawing>
                <wp:inline distT="0" distB="0" distL="0" distR="0">
                  <wp:extent cx="503555" cy="503555"/>
                  <wp:effectExtent l="19050" t="0" r="0" b="0"/>
                  <wp:docPr id="13" name="Grafik 21" descr="Ätzen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Ätzend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555" cy="503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A07DA8" w:rsidRPr="009C5E28" w:rsidRDefault="00A07DA8" w:rsidP="008514F8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3555" cy="503555"/>
                  <wp:effectExtent l="19050" t="0" r="0" b="0"/>
                  <wp:docPr id="20" name="Grafik 22" descr="Brandfördern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randfördernd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555" cy="503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A07DA8" w:rsidRPr="009C5E28" w:rsidRDefault="00A07DA8" w:rsidP="008514F8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21" name="Grafik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A07DA8" w:rsidRPr="009C5E28" w:rsidRDefault="00A07DA8" w:rsidP="008514F8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26" name="Grafik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A07DA8" w:rsidRPr="009C5E28" w:rsidRDefault="00A07DA8" w:rsidP="008514F8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27" name="Grafik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A07DA8" w:rsidRPr="009C5E28" w:rsidRDefault="00A07DA8" w:rsidP="008514F8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28" name="Grafik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A07DA8" w:rsidRPr="009C5E28" w:rsidRDefault="00A07DA8" w:rsidP="008514F8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29" name="Grafi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A07DA8" w:rsidRPr="009C5E28" w:rsidRDefault="00A07DA8" w:rsidP="008514F8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11175" cy="511175"/>
                  <wp:effectExtent l="0" t="0" r="0" b="0"/>
                  <wp:docPr id="30" name="Grafik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175" cy="511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A07DA8" w:rsidRPr="009C5E28" w:rsidRDefault="00A07DA8" w:rsidP="008514F8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82930" cy="582930"/>
                  <wp:effectExtent l="19050" t="0" r="7620" b="0"/>
                  <wp:docPr id="31" name="Grafik 23" descr="Umweltgefah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mweltgefahr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2930" cy="582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07DA8" w:rsidRDefault="00A07DA8" w:rsidP="00A07DA8">
      <w:pPr>
        <w:tabs>
          <w:tab w:val="left" w:pos="1701"/>
          <w:tab w:val="left" w:pos="1985"/>
        </w:tabs>
      </w:pPr>
    </w:p>
    <w:p w:rsidR="00A07DA8" w:rsidRDefault="00A07DA8" w:rsidP="00A07DA8">
      <w:pPr>
        <w:tabs>
          <w:tab w:val="left" w:pos="1701"/>
          <w:tab w:val="left" w:pos="1985"/>
        </w:tabs>
        <w:ind w:left="1980" w:hanging="1980"/>
      </w:pPr>
      <w:r>
        <w:t xml:space="preserve">Materialien: </w:t>
      </w:r>
      <w:r>
        <w:tab/>
      </w:r>
      <w:r>
        <w:tab/>
        <w:t>2 Bechergläser, Zinkelektrode, Kupferelektrode, Multimeter, Kabelverbi</w:t>
      </w:r>
      <w:r>
        <w:t>n</w:t>
      </w:r>
      <w:r>
        <w:t>dungen, Filterpapierstreifen</w:t>
      </w:r>
    </w:p>
    <w:p w:rsidR="00A07DA8" w:rsidRPr="005D22A1" w:rsidRDefault="00A07DA8" w:rsidP="00A07DA8">
      <w:pPr>
        <w:tabs>
          <w:tab w:val="left" w:pos="1701"/>
          <w:tab w:val="left" w:pos="1985"/>
        </w:tabs>
        <w:ind w:left="1980" w:hanging="1980"/>
      </w:pPr>
      <w:r>
        <w:t>Chemikalien:</w:t>
      </w:r>
      <w:r>
        <w:tab/>
      </w:r>
      <w:r>
        <w:tab/>
        <w:t xml:space="preserve">0,1M </w:t>
      </w:r>
      <w:proofErr w:type="spellStart"/>
      <w:r>
        <w:t>Kupfersulfatlösung</w:t>
      </w:r>
      <w:proofErr w:type="spellEnd"/>
      <w:r>
        <w:t xml:space="preserve">, 0,1M </w:t>
      </w:r>
      <w:proofErr w:type="spellStart"/>
      <w:r>
        <w:t>Zinksulfatlösung</w:t>
      </w:r>
      <w:proofErr w:type="spellEnd"/>
      <w:r>
        <w:t xml:space="preserve">, 1M </w:t>
      </w:r>
      <w:proofErr w:type="spellStart"/>
      <w:r>
        <w:t>Kaliumnitratlösung</w:t>
      </w:r>
      <w:proofErr w:type="spellEnd"/>
    </w:p>
    <w:p w:rsidR="00A07DA8" w:rsidRDefault="00A07DA8" w:rsidP="00A07DA8">
      <w:pPr>
        <w:tabs>
          <w:tab w:val="left" w:pos="1701"/>
          <w:tab w:val="left" w:pos="1985"/>
        </w:tabs>
        <w:ind w:left="1980" w:hanging="1980"/>
      </w:pPr>
      <w:r>
        <w:t xml:space="preserve">Durchführung: </w:t>
      </w:r>
      <w:r>
        <w:tab/>
      </w:r>
      <w:r>
        <w:tab/>
      </w:r>
      <w:r>
        <w:tab/>
        <w:t>Das Experiment wird wie auf dem Bild gezeigt aufgebaut. Das Voltmeter muss auf Wechselstrom eingestellt werden.</w:t>
      </w:r>
    </w:p>
    <w:p w:rsidR="00A07DA8" w:rsidRDefault="00A07DA8" w:rsidP="00A07DA8">
      <w:pPr>
        <w:tabs>
          <w:tab w:val="left" w:pos="1701"/>
          <w:tab w:val="left" w:pos="1985"/>
        </w:tabs>
        <w:ind w:left="1980" w:hanging="1980"/>
      </w:pPr>
      <w:r>
        <w:t>Beobachtung:</w:t>
      </w:r>
      <w:r>
        <w:tab/>
      </w:r>
      <w:r>
        <w:tab/>
      </w:r>
      <w:r>
        <w:tab/>
        <w:t>Das Voltmeter zeigt eine Spannung von ungefähr 1 Volt an.</w:t>
      </w:r>
    </w:p>
    <w:p w:rsidR="00A07DA8" w:rsidRDefault="00A07DA8" w:rsidP="00A07DA8">
      <w:pPr>
        <w:keepNext/>
        <w:tabs>
          <w:tab w:val="left" w:pos="1701"/>
          <w:tab w:val="left" w:pos="1985"/>
        </w:tabs>
        <w:ind w:left="1980" w:hanging="1980"/>
        <w:jc w:val="center"/>
      </w:pPr>
      <w:r>
        <w:rPr>
          <w:noProof/>
          <w:lang w:eastAsia="de-DE"/>
        </w:rPr>
        <w:drawing>
          <wp:inline distT="0" distB="0" distL="0" distR="0">
            <wp:extent cx="3369733" cy="2527300"/>
            <wp:effectExtent l="19050" t="0" r="2117" b="0"/>
            <wp:docPr id="51" name="object_1" descr="http://www.chemgapedia.de/vsengine/media/vsc/de/ch/4/cm/redox/bilder/daniel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ject_1" descr="http://www.chemgapedia.de/vsengine/media/vsc/de/ch/4/cm/redox/bilder/daniell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9733" cy="252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7DA8" w:rsidRDefault="00A07DA8" w:rsidP="00A07DA8">
      <w:pPr>
        <w:pStyle w:val="Beschriftung"/>
        <w:jc w:val="left"/>
      </w:pPr>
      <w:r>
        <w:t xml:space="preserve">Abb. 3– </w:t>
      </w:r>
      <w:r>
        <w:rPr>
          <w:noProof/>
        </w:rPr>
        <w:t>Aufbau des Daniell-Elements</w:t>
      </w:r>
    </w:p>
    <w:p w:rsidR="00A07DA8" w:rsidRPr="005A325A" w:rsidRDefault="00A07DA8" w:rsidP="00A07DA8">
      <w:pPr>
        <w:tabs>
          <w:tab w:val="left" w:pos="1701"/>
          <w:tab w:val="left" w:pos="1985"/>
        </w:tabs>
        <w:ind w:left="1980" w:hanging="1980"/>
      </w:pPr>
      <w:r>
        <w:lastRenderedPageBreak/>
        <w:t>Deutung:</w:t>
      </w:r>
      <w:r>
        <w:tab/>
      </w:r>
      <w:r>
        <w:tab/>
      </w:r>
      <w:r>
        <w:tab/>
      </w:r>
      <w:r w:rsidRPr="005A325A">
        <w:rPr>
          <w:i/>
        </w:rPr>
        <w:t>Oxidation</w:t>
      </w:r>
      <w:r>
        <w:t xml:space="preserve">:  </w:t>
      </w:r>
      <m:oMath>
        <m:r>
          <m:rPr>
            <m:sty m:val="p"/>
          </m:rPr>
          <w:rPr>
            <w:rFonts w:ascii="Cambria Math" w:hAnsi="Cambria Math"/>
          </w:rPr>
          <m:t xml:space="preserve">Zn → 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Zn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2+</m:t>
            </m:r>
          </m:sup>
        </m:sSup>
        <m:r>
          <m:rPr>
            <m:sty m:val="p"/>
          </m:rPr>
          <w:rPr>
            <w:rFonts w:ascii="Cambria Math" w:hAnsi="Cambria Math"/>
          </w:rPr>
          <m:t>+ 2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e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-</m:t>
            </m:r>
          </m:sup>
        </m:sSup>
      </m:oMath>
    </w:p>
    <w:p w:rsidR="00A07DA8" w:rsidRPr="005A325A" w:rsidRDefault="00A07DA8" w:rsidP="00A07DA8">
      <w:pPr>
        <w:tabs>
          <w:tab w:val="left" w:pos="1985"/>
        </w:tabs>
        <w:rPr>
          <w:i/>
          <w:color w:val="auto"/>
        </w:rPr>
      </w:pPr>
      <w:r>
        <w:rPr>
          <w:i/>
          <w:noProof/>
          <w:color w:val="auto"/>
          <w:lang w:eastAsia="de-D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54.8pt;margin-top:19.7pt;width:385.8pt;height:0;z-index:251660288" o:connectortype="straight"/>
        </w:pict>
      </w:r>
      <w:r w:rsidRPr="005A325A">
        <w:rPr>
          <w:i/>
          <w:color w:val="auto"/>
        </w:rPr>
        <w:tab/>
        <w:t>Reduktion</w:t>
      </w:r>
      <w:r>
        <w:rPr>
          <w:i/>
          <w:color w:val="auto"/>
        </w:rPr>
        <w:t xml:space="preserve">: </w:t>
      </w:r>
      <m:oMath>
        <m:sSup>
          <m:sSupPr>
            <m:ctrlPr>
              <w:rPr>
                <w:rFonts w:ascii="Cambria Math" w:hAnsi="Cambria Math"/>
                <w:color w:val="auto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color w:val="auto"/>
              </w:rPr>
              <m:t>Cu</m:t>
            </m:r>
          </m:e>
          <m:sup>
            <m:r>
              <m:rPr>
                <m:sty m:val="p"/>
              </m:rPr>
              <w:rPr>
                <w:rFonts w:ascii="Cambria Math" w:hAnsi="Cambria Math"/>
                <w:color w:val="auto"/>
              </w:rPr>
              <m:t>2+</m:t>
            </m:r>
          </m:sup>
        </m:sSup>
        <m:r>
          <m:rPr>
            <m:sty m:val="p"/>
          </m:rPr>
          <w:rPr>
            <w:rFonts w:ascii="Cambria Math" w:hAnsi="Cambria Math"/>
            <w:color w:val="auto"/>
          </w:rPr>
          <m:t>+ 2</m:t>
        </m:r>
        <m:sSup>
          <m:sSupPr>
            <m:ctrlPr>
              <w:rPr>
                <w:rFonts w:ascii="Cambria Math" w:hAnsi="Cambria Math"/>
                <w:color w:val="auto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color w:val="auto"/>
              </w:rPr>
              <m:t>e</m:t>
            </m:r>
          </m:e>
          <m:sup>
            <m:r>
              <m:rPr>
                <m:sty m:val="p"/>
              </m:rPr>
              <w:rPr>
                <w:rFonts w:ascii="Cambria Math" w:hAnsi="Cambria Math"/>
                <w:color w:val="auto"/>
              </w:rPr>
              <m:t>-</m:t>
            </m:r>
          </m:sup>
        </m:sSup>
        <m:r>
          <m:rPr>
            <m:sty m:val="p"/>
          </m:rPr>
          <w:rPr>
            <w:rFonts w:ascii="Cambria Math" w:hAnsi="Cambria Math"/>
            <w:color w:val="auto"/>
          </w:rPr>
          <m:t xml:space="preserve"> →Cu</m:t>
        </m:r>
      </m:oMath>
    </w:p>
    <w:p w:rsidR="00A07DA8" w:rsidRPr="008C11A6" w:rsidRDefault="00A07DA8" w:rsidP="00A07DA8">
      <w:pPr>
        <w:tabs>
          <w:tab w:val="left" w:pos="1985"/>
        </w:tabs>
        <w:rPr>
          <w:i/>
          <w:color w:val="auto"/>
        </w:rPr>
      </w:pPr>
      <w:r>
        <w:rPr>
          <w:i/>
          <w:color w:val="auto"/>
        </w:rPr>
        <w:tab/>
      </w:r>
      <w:proofErr w:type="spellStart"/>
      <w:r w:rsidRPr="008C11A6">
        <w:rPr>
          <w:i/>
          <w:color w:val="auto"/>
        </w:rPr>
        <w:t>Redox</w:t>
      </w:r>
      <w:proofErr w:type="spellEnd"/>
      <w:r w:rsidRPr="008C11A6">
        <w:rPr>
          <w:i/>
          <w:color w:val="auto"/>
        </w:rPr>
        <w:t xml:space="preserve">:         </w:t>
      </w:r>
      <m:oMath>
        <m:r>
          <m:rPr>
            <m:sty m:val="p"/>
          </m:rPr>
          <w:rPr>
            <w:rFonts w:ascii="Cambria Math" w:hAnsi="Cambria Math"/>
            <w:color w:val="auto"/>
          </w:rPr>
          <m:t>Zn+</m:t>
        </m:r>
        <m:sSup>
          <m:sSupPr>
            <m:ctrlPr>
              <w:rPr>
                <w:rFonts w:ascii="Cambria Math" w:hAnsi="Cambria Math"/>
                <w:color w:val="auto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color w:val="auto"/>
              </w:rPr>
              <m:t xml:space="preserve"> Cu</m:t>
            </m:r>
          </m:e>
          <m:sup>
            <m:r>
              <m:rPr>
                <m:sty m:val="p"/>
              </m:rPr>
              <w:rPr>
                <w:rFonts w:ascii="Cambria Math" w:hAnsi="Cambria Math"/>
                <w:color w:val="auto"/>
              </w:rPr>
              <m:t>2+</m:t>
            </m:r>
          </m:sup>
        </m:sSup>
        <m:r>
          <m:rPr>
            <m:sty m:val="p"/>
          </m:rPr>
          <w:rPr>
            <w:rFonts w:ascii="Cambria Math" w:hAnsi="Cambria Math"/>
            <w:color w:val="auto"/>
          </w:rPr>
          <m:t xml:space="preserve">  →</m:t>
        </m:r>
        <m:sSup>
          <m:sSupPr>
            <m:ctrlPr>
              <w:rPr>
                <w:rFonts w:ascii="Cambria Math" w:hAnsi="Cambria Math"/>
                <w:color w:val="auto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color w:val="auto"/>
              </w:rPr>
              <m:t>Zn</m:t>
            </m:r>
          </m:e>
          <m:sup>
            <m:r>
              <m:rPr>
                <m:sty m:val="p"/>
              </m:rPr>
              <w:rPr>
                <w:rFonts w:ascii="Cambria Math" w:hAnsi="Cambria Math"/>
                <w:color w:val="auto"/>
              </w:rPr>
              <m:t>2+</m:t>
            </m:r>
          </m:sup>
        </m:sSup>
        <m:r>
          <m:rPr>
            <m:sty m:val="p"/>
          </m:rPr>
          <w:rPr>
            <w:rFonts w:ascii="Cambria Math" w:hAnsi="Cambria Math"/>
            <w:color w:val="auto"/>
          </w:rPr>
          <m:t>+ Cu</m:t>
        </m:r>
      </m:oMath>
    </w:p>
    <w:p w:rsidR="00A07DA8" w:rsidRDefault="00A07DA8" w:rsidP="00A07DA8">
      <w:pPr>
        <w:tabs>
          <w:tab w:val="left" w:pos="1701"/>
          <w:tab w:val="left" w:pos="1985"/>
        </w:tabs>
        <w:ind w:left="1980" w:hanging="1980"/>
      </w:pPr>
      <w:r>
        <w:t>Entsorgung:</w:t>
      </w:r>
      <w:r>
        <w:tab/>
      </w:r>
      <w:r>
        <w:tab/>
        <w:t>Lösungen über das Abwasser entsorgen.</w:t>
      </w:r>
    </w:p>
    <w:p w:rsidR="00A07DA8" w:rsidRPr="00C36C0F" w:rsidRDefault="00A07DA8" w:rsidP="00A07DA8">
      <w:pPr>
        <w:spacing w:line="276" w:lineRule="auto"/>
        <w:ind w:left="1980" w:hanging="1980"/>
        <w:jc w:val="left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r>
        <w:t>Literatur:</w:t>
      </w:r>
      <w:r>
        <w:tab/>
        <w:t xml:space="preserve">[4] W. Glöckner, W. Jansen, R.G. </w:t>
      </w:r>
      <w:proofErr w:type="spellStart"/>
      <w:r>
        <w:t>Weissenhorn</w:t>
      </w:r>
      <w:proofErr w:type="spellEnd"/>
      <w:r>
        <w:t>, Handbuch der Experimente</w:t>
      </w:r>
      <w:r>
        <w:t>l</w:t>
      </w:r>
      <w:r>
        <w:t xml:space="preserve">len Chemie. </w:t>
      </w:r>
      <w:proofErr w:type="spellStart"/>
      <w:r>
        <w:t>Sekundarbereuch</w:t>
      </w:r>
      <w:proofErr w:type="spellEnd"/>
      <w:r>
        <w:t xml:space="preserve"> II Band 6: Elektrochemie, </w:t>
      </w:r>
      <w:proofErr w:type="spellStart"/>
      <w:r>
        <w:t>Aulis</w:t>
      </w:r>
      <w:proofErr w:type="spellEnd"/>
      <w:r>
        <w:t>, 1994, S.190f.</w:t>
      </w:r>
    </w:p>
    <w:p w:rsidR="00A07DA8" w:rsidRPr="006E32AF" w:rsidRDefault="00A07DA8" w:rsidP="00A07DA8">
      <w:pPr>
        <w:tabs>
          <w:tab w:val="left" w:pos="1701"/>
          <w:tab w:val="left" w:pos="1985"/>
        </w:tabs>
        <w:ind w:left="1980" w:hanging="1980"/>
        <w:rPr>
          <w:rFonts w:eastAsiaTheme="minorEastAsia"/>
        </w:rPr>
      </w:pPr>
      <w:r w:rsidRPr="002178CD">
        <w:pict>
          <v:shape id="_x0000_s1026" type="#_x0000_t202" style="width:462.45pt;height:42.3pt;mso-position-horizontal-relative:char;mso-position-vertical-relative:line;mso-width-relative:margin;mso-height-relative:margin" fillcolor="white [3201]" strokecolor="#c0504d [3205]" strokeweight="1pt">
            <v:stroke dashstyle="dash"/>
            <v:shadow color="#868686"/>
            <v:textbox style="mso-next-textbox:#_x0000_s1026">
              <w:txbxContent>
                <w:p w:rsidR="00A07DA8" w:rsidRPr="00DC1492" w:rsidRDefault="00A07DA8" w:rsidP="00A07DA8">
                  <w:pPr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 xml:space="preserve">Um den </w:t>
                  </w:r>
                  <w:proofErr w:type="spellStart"/>
                  <w:r>
                    <w:rPr>
                      <w:color w:val="auto"/>
                    </w:rPr>
                    <w:t>SuS</w:t>
                  </w:r>
                  <w:proofErr w:type="spellEnd"/>
                  <w:r>
                    <w:rPr>
                      <w:color w:val="auto"/>
                    </w:rPr>
                    <w:t xml:space="preserve"> den Elektronenfluss einfacher verständlich zu machen, würde sich das Betreiben eines kleinen Motors oder einer LED-Lampe mit der galvanischen Zelle anbieten.</w:t>
                  </w:r>
                </w:p>
              </w:txbxContent>
            </v:textbox>
            <w10:wrap type="none"/>
            <w10:anchorlock/>
          </v:shape>
        </w:pict>
      </w:r>
    </w:p>
    <w:p w:rsidR="00A07DA8" w:rsidRPr="00B937A2" w:rsidRDefault="00A07DA8" w:rsidP="00A07DA8">
      <w:pPr>
        <w:rPr>
          <w:rFonts w:asciiTheme="majorHAnsi" w:hAnsiTheme="majorHAnsi"/>
        </w:rPr>
      </w:pPr>
    </w:p>
    <w:p w:rsidR="0061367B" w:rsidRDefault="0061367B"/>
    <w:sectPr w:rsidR="0061367B" w:rsidSect="0061367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422180"/>
    <w:multiLevelType w:val="multilevel"/>
    <w:tmpl w:val="CA18A6E2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rFonts w:hint="default"/>
        <w:lang w:val="de-DE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A07DA8"/>
    <w:rsid w:val="0061367B"/>
    <w:rsid w:val="009E0280"/>
    <w:rsid w:val="00A07D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07DA8"/>
    <w:pPr>
      <w:spacing w:line="360" w:lineRule="auto"/>
      <w:jc w:val="both"/>
    </w:pPr>
    <w:rPr>
      <w:rFonts w:ascii="Cambria" w:hAnsi="Cambria"/>
      <w:color w:val="1D1B11" w:themeColor="background2" w:themeShade="1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07DA8"/>
    <w:pPr>
      <w:keepNext/>
      <w:keepLines/>
      <w:numPr>
        <w:numId w:val="1"/>
      </w:numPr>
      <w:spacing w:before="360" w:after="24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A07DA8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A07DA8"/>
    <w:pPr>
      <w:keepNext/>
      <w:keepLines/>
      <w:numPr>
        <w:ilvl w:val="2"/>
        <w:numId w:val="1"/>
      </w:numPr>
      <w:spacing w:before="200" w:after="120"/>
      <w:outlineLvl w:val="2"/>
    </w:pPr>
    <w:rPr>
      <w:rFonts w:asciiTheme="majorHAnsi" w:eastAsiaTheme="majorEastAsia" w:hAnsiTheme="majorHAnsi" w:cstheme="majorBidi"/>
      <w:b/>
      <w:bCs/>
      <w:i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A07DA8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A07DA8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A07DA8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A07DA8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A07DA8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A07DA8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A07DA8"/>
    <w:rPr>
      <w:rFonts w:asciiTheme="majorHAnsi" w:eastAsiaTheme="majorEastAsia" w:hAnsiTheme="majorHAnsi" w:cstheme="majorBidi"/>
      <w:b/>
      <w:bCs/>
      <w:color w:val="1D1B11" w:themeColor="background2" w:themeShade="1A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A07DA8"/>
    <w:rPr>
      <w:rFonts w:asciiTheme="majorHAnsi" w:eastAsiaTheme="majorEastAsia" w:hAnsiTheme="majorHAnsi" w:cstheme="majorBidi"/>
      <w:b/>
      <w:bCs/>
      <w:color w:val="1D1B11" w:themeColor="background2" w:themeShade="1A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A07DA8"/>
    <w:rPr>
      <w:rFonts w:asciiTheme="majorHAnsi" w:eastAsiaTheme="majorEastAsia" w:hAnsiTheme="majorHAnsi" w:cstheme="majorBidi"/>
      <w:b/>
      <w:bCs/>
      <w:i/>
      <w:color w:val="1D1B11" w:themeColor="background2" w:themeShade="1A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A07DA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A07DA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A07DA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A07DA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A07DA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A07DA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schriftung">
    <w:name w:val="caption"/>
    <w:basedOn w:val="Standard"/>
    <w:next w:val="Standard"/>
    <w:uiPriority w:val="35"/>
    <w:unhideWhenUsed/>
    <w:qFormat/>
    <w:rsid w:val="00A07DA8"/>
    <w:pPr>
      <w:spacing w:line="240" w:lineRule="auto"/>
    </w:pPr>
    <w:rPr>
      <w:bCs/>
      <w:color w:val="auto"/>
      <w:sz w:val="18"/>
      <w:szCs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07D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07DA8"/>
    <w:rPr>
      <w:rFonts w:ascii="Tahoma" w:hAnsi="Tahoma" w:cs="Tahoma"/>
      <w:color w:val="1D1B11" w:themeColor="background2" w:themeShade="1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139</Words>
  <Characters>879</Characters>
  <Application>Microsoft Office Word</Application>
  <DocSecurity>0</DocSecurity>
  <Lines>7</Lines>
  <Paragraphs>2</Paragraphs>
  <ScaleCrop>false</ScaleCrop>
  <Company/>
  <LinksUpToDate>false</LinksUpToDate>
  <CharactersWithSpaces>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Praxis Dr.Kellner</dc:creator>
  <cp:keywords/>
  <dc:description/>
  <cp:lastModifiedBy>Praxis Dr.Kellner</cp:lastModifiedBy>
  <cp:revision>1</cp:revision>
  <dcterms:created xsi:type="dcterms:W3CDTF">2014-08-27T16:06:00Z</dcterms:created>
  <dcterms:modified xsi:type="dcterms:W3CDTF">2014-08-27T16:06:00Z</dcterms:modified>
</cp:coreProperties>
</file>