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9E" w:rsidRPr="00D73E9F" w:rsidRDefault="0003359E" w:rsidP="00D73E9F">
      <w:pPr>
        <w:rPr>
          <w:b/>
        </w:rPr>
      </w:pPr>
      <w:r w:rsidRPr="00D73E9F">
        <w:rPr>
          <w:b/>
        </w:rPr>
        <w:t>Spaltung von Silberhalogeniden mit Licht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3359E" w:rsidRPr="009C5E28" w:rsidTr="00300EB6">
        <w:tc>
          <w:tcPr>
            <w:tcW w:w="9322" w:type="dxa"/>
            <w:gridSpan w:val="9"/>
            <w:shd w:val="clear" w:color="auto" w:fill="4F81BD"/>
            <w:vAlign w:val="center"/>
          </w:tcPr>
          <w:p w:rsidR="0003359E" w:rsidRPr="00F31EBF" w:rsidRDefault="0003359E" w:rsidP="00300EB6">
            <w:pPr>
              <w:spacing w:after="0"/>
              <w:jc w:val="center"/>
              <w:rPr>
                <w:b/>
                <w:bCs/>
                <w:color w:val="FFFFFF" w:themeColor="background1"/>
              </w:rPr>
            </w:pPr>
            <w:r w:rsidRPr="00F31EBF">
              <w:rPr>
                <w:b/>
                <w:bCs/>
                <w:color w:val="FFFFFF" w:themeColor="background1"/>
              </w:rPr>
              <w:t>Gefahrenstoffe</w:t>
            </w:r>
          </w:p>
        </w:tc>
      </w:tr>
      <w:tr w:rsidR="0003359E"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3359E" w:rsidRPr="009C5E28" w:rsidRDefault="0003359E" w:rsidP="00300EB6">
            <w:pPr>
              <w:spacing w:after="0"/>
              <w:jc w:val="center"/>
              <w:rPr>
                <w:b/>
                <w:bCs/>
              </w:rPr>
            </w:pPr>
            <w:r>
              <w:rPr>
                <w:sz w:val="20"/>
              </w:rPr>
              <w:t>Silbernitratlösung (c = 0,1 M)</w:t>
            </w:r>
          </w:p>
        </w:tc>
        <w:tc>
          <w:tcPr>
            <w:tcW w:w="3177" w:type="dxa"/>
            <w:gridSpan w:val="3"/>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sz w:val="20"/>
              </w:rPr>
              <w:t>H: 315 – 319 - 410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3359E" w:rsidRPr="009C5E28" w:rsidRDefault="0003359E" w:rsidP="00300EB6">
            <w:pPr>
              <w:spacing w:after="0"/>
              <w:jc w:val="center"/>
            </w:pPr>
            <w:r>
              <w:rPr>
                <w:sz w:val="20"/>
              </w:rPr>
              <w:t>P: 273 – 302+352 – 305+351+338</w:t>
            </w:r>
          </w:p>
        </w:tc>
      </w:tr>
      <w:tr w:rsidR="0003359E"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3359E" w:rsidRDefault="0003359E" w:rsidP="00300EB6">
            <w:pPr>
              <w:spacing w:after="0"/>
              <w:jc w:val="center"/>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03359E" w:rsidRDefault="0003359E" w:rsidP="00300EB6">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3359E" w:rsidRDefault="0003359E" w:rsidP="00300EB6">
            <w:pPr>
              <w:spacing w:after="0"/>
              <w:jc w:val="center"/>
              <w:rPr>
                <w:sz w:val="20"/>
              </w:rPr>
            </w:pPr>
            <w:r>
              <w:rPr>
                <w:sz w:val="20"/>
              </w:rPr>
              <w:t>-</w:t>
            </w:r>
          </w:p>
        </w:tc>
      </w:tr>
      <w:tr w:rsidR="0003359E"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3359E" w:rsidRDefault="0003359E" w:rsidP="00300EB6">
            <w:pPr>
              <w:spacing w:after="0"/>
              <w:jc w:val="center"/>
              <w:rPr>
                <w:sz w:val="20"/>
              </w:rPr>
            </w:pPr>
            <w:r>
              <w:rPr>
                <w:sz w:val="20"/>
              </w:rPr>
              <w:t>Natriumbromid</w:t>
            </w:r>
          </w:p>
        </w:tc>
        <w:tc>
          <w:tcPr>
            <w:tcW w:w="3177" w:type="dxa"/>
            <w:gridSpan w:val="3"/>
            <w:tcBorders>
              <w:top w:val="single" w:sz="8" w:space="0" w:color="4F81BD"/>
              <w:bottom w:val="single" w:sz="8" w:space="0" w:color="4F81BD"/>
            </w:tcBorders>
            <w:shd w:val="clear" w:color="auto" w:fill="auto"/>
            <w:vAlign w:val="center"/>
          </w:tcPr>
          <w:p w:rsidR="0003359E" w:rsidRDefault="0003359E" w:rsidP="00300EB6">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3359E" w:rsidRDefault="0003359E" w:rsidP="00300EB6">
            <w:pPr>
              <w:spacing w:after="0"/>
              <w:jc w:val="center"/>
              <w:rPr>
                <w:sz w:val="20"/>
              </w:rPr>
            </w:pPr>
            <w:r>
              <w:rPr>
                <w:sz w:val="20"/>
              </w:rPr>
              <w:t>-</w:t>
            </w:r>
          </w:p>
        </w:tc>
      </w:tr>
      <w:tr w:rsidR="0003359E"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3359E" w:rsidRDefault="0003359E" w:rsidP="00300EB6">
            <w:pPr>
              <w:spacing w:after="0"/>
              <w:jc w:val="center"/>
              <w:rPr>
                <w:sz w:val="20"/>
              </w:rPr>
            </w:pPr>
            <w:r>
              <w:rPr>
                <w:sz w:val="20"/>
              </w:rPr>
              <w:t>Natriumiodid</w:t>
            </w:r>
          </w:p>
        </w:tc>
        <w:tc>
          <w:tcPr>
            <w:tcW w:w="3177" w:type="dxa"/>
            <w:gridSpan w:val="3"/>
            <w:tcBorders>
              <w:top w:val="single" w:sz="8" w:space="0" w:color="4F81BD"/>
              <w:bottom w:val="single" w:sz="8" w:space="0" w:color="4F81BD"/>
            </w:tcBorders>
            <w:shd w:val="clear" w:color="auto" w:fill="auto"/>
            <w:vAlign w:val="center"/>
          </w:tcPr>
          <w:p w:rsidR="0003359E" w:rsidRDefault="0003359E" w:rsidP="00300EB6">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3359E" w:rsidRDefault="0003359E" w:rsidP="00300EB6">
            <w:pPr>
              <w:spacing w:after="0"/>
              <w:jc w:val="center"/>
              <w:rPr>
                <w:sz w:val="20"/>
              </w:rPr>
            </w:pPr>
            <w:r>
              <w:rPr>
                <w:sz w:val="20"/>
              </w:rPr>
              <w:t>-</w:t>
            </w:r>
          </w:p>
        </w:tc>
      </w:tr>
      <w:tr w:rsidR="0003359E" w:rsidRPr="009C5E28" w:rsidTr="00300EB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3359E" w:rsidRDefault="0003359E" w:rsidP="00300EB6">
            <w:pPr>
              <w:spacing w:after="0"/>
              <w:jc w:val="center"/>
              <w:rPr>
                <w:sz w:val="20"/>
              </w:rPr>
            </w:pPr>
            <w:proofErr w:type="spellStart"/>
            <w:r>
              <w:rPr>
                <w:sz w:val="20"/>
              </w:rPr>
              <w:t>Natriumthiosulfat</w:t>
            </w:r>
            <w:proofErr w:type="spellEnd"/>
          </w:p>
        </w:tc>
        <w:tc>
          <w:tcPr>
            <w:tcW w:w="3177" w:type="dxa"/>
            <w:gridSpan w:val="3"/>
            <w:tcBorders>
              <w:top w:val="single" w:sz="8" w:space="0" w:color="4F81BD"/>
              <w:bottom w:val="single" w:sz="8" w:space="0" w:color="4F81BD"/>
            </w:tcBorders>
            <w:shd w:val="clear" w:color="auto" w:fill="auto"/>
            <w:vAlign w:val="center"/>
          </w:tcPr>
          <w:p w:rsidR="0003359E" w:rsidRDefault="0003359E" w:rsidP="00300EB6">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3359E" w:rsidRDefault="0003359E" w:rsidP="00300EB6">
            <w:pPr>
              <w:spacing w:after="0"/>
              <w:jc w:val="center"/>
              <w:rPr>
                <w:sz w:val="20"/>
              </w:rPr>
            </w:pPr>
            <w:r>
              <w:rPr>
                <w:sz w:val="20"/>
              </w:rPr>
              <w:t>-</w:t>
            </w:r>
          </w:p>
        </w:tc>
      </w:tr>
      <w:tr w:rsidR="0003359E" w:rsidRPr="009C5E28" w:rsidTr="00300EB6">
        <w:tc>
          <w:tcPr>
            <w:tcW w:w="1009" w:type="dxa"/>
            <w:tcBorders>
              <w:top w:val="single" w:sz="8" w:space="0" w:color="4F81BD"/>
              <w:left w:val="single" w:sz="8" w:space="0" w:color="4F81BD"/>
              <w:bottom w:val="single" w:sz="8" w:space="0" w:color="4F81BD"/>
            </w:tcBorders>
            <w:shd w:val="clear" w:color="auto" w:fill="auto"/>
            <w:vAlign w:val="center"/>
          </w:tcPr>
          <w:p w:rsidR="0003359E" w:rsidRPr="009C5E28" w:rsidRDefault="0003359E" w:rsidP="00300EB6">
            <w:pPr>
              <w:spacing w:after="0"/>
              <w:jc w:val="center"/>
              <w:rPr>
                <w:b/>
                <w:bCs/>
              </w:rPr>
            </w:pPr>
            <w:r>
              <w:rPr>
                <w:b/>
                <w:noProof/>
                <w:lang w:eastAsia="de-DE"/>
              </w:rPr>
              <w:drawing>
                <wp:inline distT="0" distB="0" distL="0" distR="0">
                  <wp:extent cx="504000" cy="504000"/>
                  <wp:effectExtent l="19050" t="0" r="0" b="0"/>
                  <wp:docPr id="2"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4190" cy="504190"/>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3496" cy="503496"/>
                  <wp:effectExtent l="19050" t="0" r="0" b="0"/>
                  <wp:docPr id="4"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4190" cy="504190"/>
                  <wp:effectExtent l="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4190" cy="504190"/>
                  <wp:effectExtent l="0" t="0" r="0"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4000" cy="504000"/>
                  <wp:effectExtent l="19050" t="0" r="0" b="0"/>
                  <wp:docPr id="7"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4000" cy="504000"/>
                  <wp:effectExtent l="19050" t="0" r="0" b="0"/>
                  <wp:docPr id="12"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3359E" w:rsidRPr="009C5E28" w:rsidRDefault="0003359E" w:rsidP="00300EB6">
            <w:pPr>
              <w:spacing w:after="0"/>
              <w:jc w:val="center"/>
            </w:pPr>
            <w:r>
              <w:rPr>
                <w:noProof/>
                <w:lang w:eastAsia="de-DE"/>
              </w:rPr>
              <w:drawing>
                <wp:inline distT="0" distB="0" distL="0" distR="0">
                  <wp:extent cx="504190" cy="504190"/>
                  <wp:effectExtent l="19050" t="0" r="0" b="0"/>
                  <wp:docPr id="1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CB4EBD" w:rsidRDefault="00CB4EBD" w:rsidP="0003359E">
      <w:pPr>
        <w:tabs>
          <w:tab w:val="left" w:pos="1701"/>
          <w:tab w:val="left" w:pos="1985"/>
        </w:tabs>
        <w:ind w:left="1980" w:hanging="1980"/>
      </w:pPr>
    </w:p>
    <w:p w:rsidR="0003359E" w:rsidRDefault="0003359E" w:rsidP="0003359E">
      <w:pPr>
        <w:tabs>
          <w:tab w:val="left" w:pos="1701"/>
          <w:tab w:val="left" w:pos="1985"/>
        </w:tabs>
        <w:ind w:left="1980" w:hanging="1980"/>
      </w:pPr>
      <w:r>
        <w:t xml:space="preserve">Materialien: </w:t>
      </w:r>
      <w:r>
        <w:tab/>
      </w:r>
      <w:r>
        <w:tab/>
        <w:t>6 Reagenzgläser, Reagenzglasständer, Spatel, Pasteurpipette, Stopfen, 250 mL Becherglas, Bunsenbrenner, Dreifuß, Drahtnetz.</w:t>
      </w:r>
    </w:p>
    <w:p w:rsidR="0003359E" w:rsidRPr="00ED07C2" w:rsidRDefault="0003359E" w:rsidP="0003359E">
      <w:pPr>
        <w:tabs>
          <w:tab w:val="left" w:pos="1701"/>
          <w:tab w:val="left" w:pos="1985"/>
        </w:tabs>
        <w:ind w:left="1980" w:hanging="1980"/>
      </w:pPr>
      <w:r>
        <w:t>Chemikalien:</w:t>
      </w:r>
      <w:r>
        <w:tab/>
      </w:r>
      <w:r>
        <w:tab/>
        <w:t xml:space="preserve">Natriumchlorid, Natriumbromid, Natriumiodid, Silbernitratlösung </w:t>
      </w:r>
      <w:r>
        <w:rPr>
          <w:sz w:val="20"/>
        </w:rPr>
        <w:t>(c = 0,1 M)</w:t>
      </w:r>
      <w:r>
        <w:t>, destilliertes Wasser, Gelatine.</w:t>
      </w:r>
    </w:p>
    <w:p w:rsidR="0003359E" w:rsidRDefault="0003359E" w:rsidP="0003359E">
      <w:pPr>
        <w:tabs>
          <w:tab w:val="left" w:pos="1701"/>
          <w:tab w:val="left" w:pos="1985"/>
        </w:tabs>
        <w:ind w:left="1980" w:hanging="1980"/>
      </w:pPr>
      <w:r>
        <w:t>Durchführung:</w:t>
      </w:r>
      <w:r>
        <w:tab/>
      </w:r>
      <w:r>
        <w:tab/>
        <w:t xml:space="preserve">8 g Gelatine werden in 50 mL warmes Wasser gegeben und 10 Minuten zum Quellen der Gelatine stehen gelassen (die Gelatine darf nicht fest werden). Dann werden in drei Reagenzgläsern eine Natriumchlorid-, Natriumbromid- und Natriumiodid-Lösung angesetzt. Dazu wird je ein Reagenzglas halb mit destilliertem Wasser gefüllt und mit einem Spatel des jeweiligen Salzes versetzt. Dann werden drei Reagenzgläser zur Hälfte mit der Gelatinelösung, mit der jeweiligen Salzlösung und mit 5 Tropfen Silbernitratlösung </w:t>
      </w:r>
      <w:proofErr w:type="spellStart"/>
      <w:r>
        <w:t>befüllt</w:t>
      </w:r>
      <w:proofErr w:type="spellEnd"/>
      <w:r>
        <w:t>. Die drei Reagenzgläser werden zur Hälfte mit Alufolie abgedeckt und vor eine Lichtquelle gestellt. Die Belichtung erfolgt unterm Abzug!</w:t>
      </w:r>
    </w:p>
    <w:p w:rsidR="0003359E" w:rsidRDefault="0003359E" w:rsidP="0003359E">
      <w:pPr>
        <w:tabs>
          <w:tab w:val="left" w:pos="1701"/>
          <w:tab w:val="left" w:pos="1985"/>
        </w:tabs>
        <w:spacing w:after="0"/>
        <w:ind w:left="1980" w:hanging="1980"/>
      </w:pPr>
      <w:r>
        <w:t>Beobachtung:</w:t>
      </w:r>
      <w:r>
        <w:tab/>
      </w:r>
      <w:r>
        <w:tab/>
      </w:r>
      <w:proofErr w:type="spellStart"/>
      <w:r>
        <w:t>Silberchloridlösung</w:t>
      </w:r>
      <w:proofErr w:type="spellEnd"/>
      <w:r>
        <w:t>: Es entsteht eine grausilbrige Lösung im belichteten Bereich.</w:t>
      </w:r>
    </w:p>
    <w:p w:rsidR="0003359E" w:rsidRDefault="0003359E" w:rsidP="0003359E">
      <w:pPr>
        <w:tabs>
          <w:tab w:val="left" w:pos="1701"/>
          <w:tab w:val="left" w:pos="1985"/>
        </w:tabs>
        <w:spacing w:after="0"/>
        <w:ind w:left="1980" w:hanging="1980"/>
      </w:pPr>
      <w:r>
        <w:tab/>
      </w:r>
      <w:r>
        <w:tab/>
        <w:t>Silberbromidlösung: Es entsteht eine graubraune Lösung im belichteten Bereich.</w:t>
      </w:r>
    </w:p>
    <w:p w:rsidR="0003359E" w:rsidRDefault="0003359E" w:rsidP="0003359E">
      <w:pPr>
        <w:tabs>
          <w:tab w:val="left" w:pos="1701"/>
          <w:tab w:val="left" w:pos="1985"/>
        </w:tabs>
        <w:spacing w:after="0"/>
        <w:ind w:left="1980" w:hanging="1980"/>
      </w:pPr>
      <w:r>
        <w:tab/>
      </w:r>
      <w:r>
        <w:tab/>
      </w:r>
      <w:proofErr w:type="spellStart"/>
      <w:r>
        <w:t>Silberiodidlösung</w:t>
      </w:r>
      <w:proofErr w:type="spellEnd"/>
      <w:r>
        <w:t>: Der käsig-gelbe Niederschlag verändert sich nicht.</w:t>
      </w:r>
    </w:p>
    <w:p w:rsidR="0003359E" w:rsidRDefault="0003359E" w:rsidP="0003359E">
      <w:pPr>
        <w:keepNext/>
        <w:tabs>
          <w:tab w:val="left" w:pos="1701"/>
          <w:tab w:val="left" w:pos="1985"/>
        </w:tabs>
        <w:spacing w:after="0"/>
        <w:ind w:left="1980" w:hanging="1980"/>
        <w:jc w:val="center"/>
      </w:pPr>
      <w:r w:rsidRPr="00DF68D9">
        <w:rPr>
          <w:noProof/>
          <w:lang w:eastAsia="de-DE"/>
        </w:rPr>
        <w:lastRenderedPageBreak/>
        <w:drawing>
          <wp:inline distT="0" distB="0" distL="0" distR="0">
            <wp:extent cx="1943999" cy="2160000"/>
            <wp:effectExtent l="133350" t="0" r="113401" b="0"/>
            <wp:docPr id="16"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14" cstate="print"/>
                    <a:srcRect l="38638" t="20541" r="16753" b="13643"/>
                    <a:stretch>
                      <a:fillRect/>
                    </a:stretch>
                  </pic:blipFill>
                  <pic:spPr bwMode="auto">
                    <a:xfrm rot="5400000">
                      <a:off x="0" y="0"/>
                      <a:ext cx="1943999" cy="2160000"/>
                    </a:xfrm>
                    <a:prstGeom prst="rect">
                      <a:avLst/>
                    </a:prstGeom>
                    <a:noFill/>
                    <a:ln w="9525">
                      <a:noFill/>
                      <a:miter lim="800000"/>
                      <a:headEnd/>
                      <a:tailEnd/>
                    </a:ln>
                  </pic:spPr>
                </pic:pic>
              </a:graphicData>
            </a:graphic>
          </wp:inline>
        </w:drawing>
      </w:r>
    </w:p>
    <w:p w:rsidR="0003359E" w:rsidRPr="00247452" w:rsidRDefault="0003359E" w:rsidP="0003359E">
      <w:pPr>
        <w:pStyle w:val="Beschriftung"/>
        <w:spacing w:line="360" w:lineRule="auto"/>
        <w:jc w:val="center"/>
      </w:pPr>
      <w:r>
        <w:t>Abb. 2</w:t>
      </w:r>
      <w:r w:rsidRPr="00247452">
        <w:t xml:space="preserve"> – </w:t>
      </w:r>
      <w:r>
        <w:rPr>
          <w:noProof/>
        </w:rPr>
        <w:t>Licht spaltet Silberchlorid und –bromid in die Elemente</w:t>
      </w:r>
      <w:r w:rsidRPr="00247452">
        <w:rPr>
          <w:noProof/>
        </w:rPr>
        <w:t>.</w:t>
      </w:r>
    </w:p>
    <w:p w:rsidR="0003359E" w:rsidRPr="00BC2C6E" w:rsidRDefault="0003359E" w:rsidP="0003359E">
      <w:pPr>
        <w:tabs>
          <w:tab w:val="left" w:pos="1701"/>
          <w:tab w:val="left" w:pos="1985"/>
        </w:tabs>
        <w:ind w:left="1985" w:hanging="1985"/>
      </w:pPr>
      <w:r>
        <w:t>Deutung:</w:t>
      </w:r>
      <w:r>
        <w:tab/>
      </w:r>
      <w:r>
        <w:tab/>
        <w:t>Aus der Silberchlorid- und der Silberbromidlösung fällt durch die Einwirkung von Licht wieder Silber aus, das sich nicht im Wasser löst. Weiterhin entstehen in geringen Mengen Chlor und Brom. Die Gelatine verhindert die Durchmischung der zwei Phasen.</w:t>
      </w:r>
    </w:p>
    <w:p w:rsidR="0003359E" w:rsidRDefault="0003359E" w:rsidP="0003359E">
      <w:pPr>
        <w:ind w:left="1985" w:hanging="1985"/>
        <w:jc w:val="left"/>
      </w:pPr>
      <w:r>
        <w:t>Entsorgung:</w:t>
      </w:r>
      <w:r>
        <w:tab/>
        <w:t>Die Reaktionsprodukte werden mit Natriumthiosulfatlösung reduziert. Die Lösungen werden dann in den Schwermetallbehälter gegeben.</w:t>
      </w:r>
    </w:p>
    <w:p w:rsidR="0003359E" w:rsidRPr="0003359E" w:rsidRDefault="0051085A" w:rsidP="0003359E">
      <w:pPr>
        <w:spacing w:after="0"/>
        <w:ind w:left="1985" w:hanging="1985"/>
        <w:rPr>
          <w:rFonts w:ascii="Cambria Math" w:eastAsia="Times New Roman" w:hAnsi="Cambria Math" w:cs="Times New Roman"/>
          <w:color w:val="auto"/>
          <w:szCs w:val="24"/>
          <w:lang w:eastAsia="de-DE"/>
        </w:rPr>
      </w:pPr>
      <w:r w:rsidRPr="0051085A">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4.95pt;margin-top:43.3pt;width:456.25pt;height:82.15pt;z-index:251660288;mso-position-horizontal-relative:margin;mso-width-relative:margin;mso-height-relative:margin" strokecolor="#c0504d" strokeweight="1pt">
            <v:stroke dashstyle="dash"/>
            <v:shadow color="#868686"/>
            <v:textbox style="mso-next-textbox:#_x0000_s1026">
              <w:txbxContent>
                <w:p w:rsidR="0003359E" w:rsidRPr="00E36946" w:rsidRDefault="0003359E" w:rsidP="0003359E">
                  <w:pPr>
                    <w:spacing w:after="0"/>
                  </w:pPr>
                  <w:r w:rsidRPr="00E36946">
                    <w:t>Reaktionsgleichung</w:t>
                  </w:r>
                  <w:r>
                    <w:t>en</w:t>
                  </w:r>
                  <w:r w:rsidRPr="00E36946">
                    <w:t xml:space="preserve"> (sollten nicht thematisiert w</w:t>
                  </w:r>
                  <w:r>
                    <w:t>e</w:t>
                  </w:r>
                  <w:r w:rsidRPr="00E36946">
                    <w:t>rden)</w:t>
                  </w:r>
                  <w:r>
                    <w:t>:</w:t>
                  </w:r>
                </w:p>
                <w:p w:rsidR="0003359E" w:rsidRPr="00E36946" w:rsidRDefault="0003359E" w:rsidP="0003359E">
                  <w:pPr>
                    <w:spacing w:after="0"/>
                    <w:rPr>
                      <w:lang w:val="en-US"/>
                    </w:rPr>
                  </w:pPr>
                  <w:r>
                    <w:rPr>
                      <w:lang w:val="en-US"/>
                    </w:rPr>
                    <w:t xml:space="preserve">2 </w:t>
                  </w:r>
                  <w:proofErr w:type="spellStart"/>
                  <w:r w:rsidRPr="00E36946">
                    <w:rPr>
                      <w:lang w:val="en-US"/>
                    </w:rPr>
                    <w:t>AgCl</w:t>
                  </w:r>
                  <w:proofErr w:type="spellEnd"/>
                  <w:r w:rsidRPr="00E36946">
                    <w:rPr>
                      <w:lang w:val="en-US"/>
                    </w:rPr>
                    <w:t xml:space="preserve"> </w:t>
                  </w:r>
                  <w:r w:rsidRPr="00E36946">
                    <w:rPr>
                      <w:vertAlign w:val="subscript"/>
                      <w:lang w:val="en-US"/>
                    </w:rPr>
                    <w:t>(s)</w:t>
                  </w:r>
                  <w:r w:rsidRPr="00E36946">
                    <w:rPr>
                      <w:lang w:val="en-US"/>
                    </w:rPr>
                    <w:t xml:space="preserve"> ↓</w:t>
                  </w:r>
                  <w:r>
                    <w:rPr>
                      <w:lang w:val="en-US"/>
                    </w:rPr>
                    <w:t xml:space="preserve">    +   →   2 Ag </w:t>
                  </w:r>
                  <w:r w:rsidRPr="00E36946">
                    <w:rPr>
                      <w:vertAlign w:val="subscript"/>
                      <w:lang w:val="en-US"/>
                    </w:rPr>
                    <w:t>(s)</w:t>
                  </w:r>
                  <w:r>
                    <w:rPr>
                      <w:lang w:val="en-US"/>
                    </w:rPr>
                    <w:t xml:space="preserve">   +   Cl</w:t>
                  </w:r>
                  <w:r w:rsidRPr="00E36946">
                    <w:rPr>
                      <w:vertAlign w:val="subscript"/>
                      <w:lang w:val="en-US"/>
                    </w:rPr>
                    <w:t>2</w:t>
                  </w:r>
                  <w:r>
                    <w:rPr>
                      <w:lang w:val="en-US"/>
                    </w:rPr>
                    <w:t xml:space="preserve"> </w:t>
                  </w:r>
                  <w:r w:rsidRPr="00E36946">
                    <w:rPr>
                      <w:vertAlign w:val="subscript"/>
                      <w:lang w:val="en-US"/>
                    </w:rPr>
                    <w:t>(g)</w:t>
                  </w:r>
                </w:p>
                <w:p w:rsidR="0003359E" w:rsidRDefault="0003359E" w:rsidP="0003359E">
                  <w:pPr>
                    <w:spacing w:after="0"/>
                    <w:rPr>
                      <w:vertAlign w:val="subscript"/>
                      <w:lang w:val="en-US"/>
                    </w:rPr>
                  </w:pPr>
                  <w:r>
                    <w:rPr>
                      <w:lang w:val="en-US"/>
                    </w:rPr>
                    <w:t xml:space="preserve">2 </w:t>
                  </w:r>
                  <w:proofErr w:type="spellStart"/>
                  <w:r w:rsidRPr="00E36946">
                    <w:rPr>
                      <w:lang w:val="en-US"/>
                    </w:rPr>
                    <w:t>Ag</w:t>
                  </w:r>
                  <w:r>
                    <w:rPr>
                      <w:lang w:val="en-US"/>
                    </w:rPr>
                    <w:t>Br</w:t>
                  </w:r>
                  <w:proofErr w:type="spellEnd"/>
                  <w:r w:rsidRPr="00E36946">
                    <w:rPr>
                      <w:lang w:val="en-US"/>
                    </w:rPr>
                    <w:t xml:space="preserve"> </w:t>
                  </w:r>
                  <w:r w:rsidRPr="00E36946">
                    <w:rPr>
                      <w:vertAlign w:val="subscript"/>
                      <w:lang w:val="en-US"/>
                    </w:rPr>
                    <w:t>(s)</w:t>
                  </w:r>
                  <w:r w:rsidRPr="00E36946">
                    <w:rPr>
                      <w:lang w:val="en-US"/>
                    </w:rPr>
                    <w:t xml:space="preserve"> ↓</w:t>
                  </w:r>
                  <w:r>
                    <w:rPr>
                      <w:lang w:val="en-US"/>
                    </w:rPr>
                    <w:t xml:space="preserve">   +   →   2 Ag </w:t>
                  </w:r>
                  <w:r w:rsidRPr="00E36946">
                    <w:rPr>
                      <w:vertAlign w:val="subscript"/>
                      <w:lang w:val="en-US"/>
                    </w:rPr>
                    <w:t>(s)</w:t>
                  </w:r>
                  <w:r>
                    <w:rPr>
                      <w:lang w:val="en-US"/>
                    </w:rPr>
                    <w:t xml:space="preserve">   +   Br</w:t>
                  </w:r>
                  <w:r w:rsidRPr="00E36946">
                    <w:rPr>
                      <w:vertAlign w:val="subscript"/>
                      <w:lang w:val="en-US"/>
                    </w:rPr>
                    <w:t>2</w:t>
                  </w:r>
                  <w:r>
                    <w:rPr>
                      <w:lang w:val="en-US"/>
                    </w:rPr>
                    <w:t xml:space="preserve"> </w:t>
                  </w:r>
                  <w:r w:rsidRPr="00E36946">
                    <w:rPr>
                      <w:vertAlign w:val="subscript"/>
                      <w:lang w:val="en-US"/>
                    </w:rPr>
                    <w:t>(g)</w:t>
                  </w:r>
                </w:p>
                <w:p w:rsidR="0003359E" w:rsidRPr="000F65EC" w:rsidRDefault="0003359E" w:rsidP="0003359E">
                  <w:pPr>
                    <w:spacing w:after="0"/>
                  </w:pPr>
                  <w:r w:rsidRPr="000F65EC">
                    <w:t>Ein Iod-Stärke-Nachweis kann d</w:t>
                  </w:r>
                  <w:r>
                    <w:t>urchgeführt werden, um zu zeigen, dass sich kein Iod bildet.</w:t>
                  </w:r>
                </w:p>
              </w:txbxContent>
            </v:textbox>
            <w10:wrap type="square" anchorx="margin"/>
          </v:shape>
        </w:pict>
      </w:r>
      <w:r w:rsidR="0003359E">
        <w:t>Literatur:</w:t>
      </w:r>
      <w:r w:rsidR="0003359E">
        <w:tab/>
      </w:r>
      <w:r w:rsidR="0003359E" w:rsidRPr="0003359E">
        <w:rPr>
          <w:rFonts w:ascii="Cambria Math" w:eastAsia="Times New Roman" w:hAnsi="Cambria Math" w:cs="Times New Roman"/>
          <w:color w:val="auto"/>
          <w:szCs w:val="24"/>
          <w:lang w:eastAsia="de-DE"/>
        </w:rPr>
        <w:t xml:space="preserve">H. Boeck, J. Elsner, H. </w:t>
      </w:r>
      <w:proofErr w:type="spellStart"/>
      <w:r w:rsidR="0003359E" w:rsidRPr="0003359E">
        <w:rPr>
          <w:rFonts w:ascii="Cambria Math" w:eastAsia="Times New Roman" w:hAnsi="Cambria Math" w:cs="Times New Roman"/>
          <w:color w:val="auto"/>
          <w:szCs w:val="24"/>
          <w:lang w:eastAsia="de-DE"/>
        </w:rPr>
        <w:t>Keune</w:t>
      </w:r>
      <w:proofErr w:type="spellEnd"/>
      <w:r w:rsidR="0003359E" w:rsidRPr="0003359E">
        <w:rPr>
          <w:rFonts w:ascii="Cambria Math" w:eastAsia="Times New Roman" w:hAnsi="Cambria Math" w:cs="Times New Roman"/>
          <w:color w:val="auto"/>
          <w:szCs w:val="24"/>
          <w:lang w:eastAsia="de-DE"/>
        </w:rPr>
        <w:t xml:space="preserve">, A. </w:t>
      </w:r>
      <w:proofErr w:type="spellStart"/>
      <w:r w:rsidR="0003359E" w:rsidRPr="0003359E">
        <w:rPr>
          <w:rFonts w:ascii="Cambria Math" w:eastAsia="Times New Roman" w:hAnsi="Cambria Math" w:cs="Times New Roman"/>
          <w:color w:val="auto"/>
          <w:szCs w:val="24"/>
          <w:lang w:eastAsia="de-DE"/>
        </w:rPr>
        <w:t>Kometz</w:t>
      </w:r>
      <w:proofErr w:type="spellEnd"/>
      <w:r w:rsidR="0003359E" w:rsidRPr="0003359E">
        <w:rPr>
          <w:rFonts w:ascii="Cambria Math" w:eastAsia="Times New Roman" w:hAnsi="Cambria Math" w:cs="Times New Roman"/>
          <w:color w:val="auto"/>
          <w:szCs w:val="24"/>
          <w:lang w:eastAsia="de-DE"/>
        </w:rPr>
        <w:t xml:space="preserve">, Eds., </w:t>
      </w:r>
      <w:r w:rsidR="0003359E" w:rsidRPr="0003359E">
        <w:rPr>
          <w:rFonts w:ascii="Cambria Math" w:eastAsia="Times New Roman" w:hAnsi="Cambria Math" w:cs="Times New Roman"/>
          <w:i/>
          <w:iCs/>
          <w:color w:val="auto"/>
          <w:szCs w:val="24"/>
          <w:lang w:eastAsia="de-DE"/>
        </w:rPr>
        <w:t>Anorganische Chemie</w:t>
      </w:r>
      <w:r w:rsidR="0003359E" w:rsidRPr="0003359E">
        <w:rPr>
          <w:rFonts w:ascii="Cambria Math" w:eastAsia="Times New Roman" w:hAnsi="Cambria Math" w:cs="Times New Roman"/>
          <w:color w:val="auto"/>
          <w:szCs w:val="24"/>
          <w:lang w:eastAsia="de-DE"/>
        </w:rPr>
        <w:t xml:space="preserve">, Volk Und Wissen, Berlin, </w:t>
      </w:r>
      <w:r w:rsidR="0003359E" w:rsidRPr="0003359E">
        <w:rPr>
          <w:rFonts w:ascii="Cambria Math" w:eastAsia="Times New Roman" w:hAnsi="Cambria Math" w:cs="Times New Roman"/>
          <w:b/>
          <w:bCs/>
          <w:color w:val="auto"/>
          <w:szCs w:val="24"/>
          <w:lang w:eastAsia="de-DE"/>
        </w:rPr>
        <w:t>2009</w:t>
      </w:r>
      <w:r w:rsidR="0003359E" w:rsidRPr="0003359E">
        <w:rPr>
          <w:rFonts w:ascii="Cambria Math" w:eastAsia="Times New Roman" w:hAnsi="Cambria Math" w:cs="Times New Roman"/>
          <w:color w:val="auto"/>
          <w:szCs w:val="24"/>
          <w:lang w:eastAsia="de-DE"/>
        </w:rPr>
        <w:t>. S. 284.</w:t>
      </w:r>
    </w:p>
    <w:p w:rsidR="0003359E" w:rsidRDefault="0003359E" w:rsidP="0003359E">
      <w:pPr>
        <w:spacing w:after="0"/>
        <w:rPr>
          <w:rFonts w:eastAsiaTheme="minorEastAsia"/>
        </w:rPr>
      </w:pPr>
    </w:p>
    <w:p w:rsidR="002D0ED9" w:rsidRDefault="002D0ED9"/>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359E"/>
    <w:rsid w:val="0003359E"/>
    <w:rsid w:val="002D0ED9"/>
    <w:rsid w:val="003514D8"/>
    <w:rsid w:val="004B28B3"/>
    <w:rsid w:val="004F24B8"/>
    <w:rsid w:val="0051085A"/>
    <w:rsid w:val="00717EFF"/>
    <w:rsid w:val="007A4199"/>
    <w:rsid w:val="007E31DB"/>
    <w:rsid w:val="00CB4EBD"/>
    <w:rsid w:val="00D03E0C"/>
    <w:rsid w:val="00D73E9F"/>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359E"/>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03359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335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59E"/>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1734</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3</cp:revision>
  <dcterms:created xsi:type="dcterms:W3CDTF">2015-08-18T08:20:00Z</dcterms:created>
  <dcterms:modified xsi:type="dcterms:W3CDTF">2015-08-18T13:06:00Z</dcterms:modified>
</cp:coreProperties>
</file>