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8B4" w:rsidRPr="00D6456E" w:rsidRDefault="00AD78B4" w:rsidP="00AD78B4">
      <w:pPr>
        <w:pStyle w:val="berschrift2"/>
        <w:rPr>
          <w:color w:val="auto"/>
        </w:rPr>
      </w:pPr>
      <w:bookmarkStart w:id="0" w:name="_Toc458021592"/>
      <w:r>
        <w:rPr>
          <w:color w:val="auto"/>
        </w:rPr>
        <w:t>V2</w:t>
      </w:r>
      <w:r w:rsidRPr="00CC307A">
        <w:rPr>
          <w:color w:val="auto"/>
        </w:rPr>
        <w:t xml:space="preserve"> – </w:t>
      </w:r>
      <w:r>
        <w:rPr>
          <w:color w:val="auto"/>
        </w:rPr>
        <w:t xml:space="preserve">Autokatalyse bei der Permanganat/ </w:t>
      </w:r>
      <w:proofErr w:type="spellStart"/>
      <w:r>
        <w:rPr>
          <w:color w:val="auto"/>
        </w:rPr>
        <w:t>Oxalsäure</w:t>
      </w:r>
      <w:proofErr w:type="spellEnd"/>
      <w:r>
        <w:rPr>
          <w:color w:val="auto"/>
        </w:rPr>
        <w:noBreakHyphen/>
        <w:t>Oxidation</w:t>
      </w:r>
      <w:bookmarkEnd w:id="0"/>
      <w:r>
        <w:rPr>
          <w:color w:val="auto"/>
        </w:rPr>
        <w:t xml:space="preserve"> </w:t>
      </w:r>
    </w:p>
    <w:p w:rsidR="00AD78B4" w:rsidRDefault="00AD78B4" w:rsidP="00AD78B4">
      <w:pPr>
        <w:pStyle w:val="berschrift2"/>
        <w:numPr>
          <w:ilvl w:val="0"/>
          <w:numId w:val="0"/>
        </w:numPr>
      </w:pPr>
      <w:r w:rsidRPr="00DA03AE">
        <w:rPr>
          <w:noProof/>
          <w:lang w:eastAsia="de-DE"/>
        </w:rPr>
        <w:pict>
          <v:shapetype id="_x0000_t202" coordsize="21600,21600" o:spt="202" path="m,l,21600r21600,l21600,xe">
            <v:stroke joinstyle="miter"/>
            <v:path gradientshapeok="t" o:connecttype="rect"/>
          </v:shapetype>
          <v:shape id="Text Box 142" o:spid="_x0000_s1027" type="#_x0000_t202" style="position:absolute;left:0;text-align:left;margin-left:-.05pt;margin-top:3.9pt;width:462.45pt;height:120.3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" fillcolor="white [3201]" strokecolor="#4bacc6 [3208]" strokeweight="1pt">
            <v:stroke dashstyle="dash"/>
            <v:shadow color="#868686"/>
            <v:textbox>
              <w:txbxContent>
                <w:p w:rsidR="00AD78B4" w:rsidRPr="00F31EBF" w:rsidRDefault="00AD78B4" w:rsidP="00AD78B4">
                  <w:pPr>
                    <w:rPr>
                      <w:color w:val="auto"/>
                    </w:rPr>
                  </w:pPr>
                  <w:r>
                    <w:rPr>
                      <w:color w:val="auto"/>
                    </w:rPr>
                    <w:t>In diesem Versuch wird die autokatalytische Reaktion von der Permanganat- und Oxalsäure-Oxidation gezeigt. Als Vorwissen wird bei den Schülerinnen und Schüler die Aktivierungsene</w:t>
                  </w:r>
                  <w:r>
                    <w:rPr>
                      <w:color w:val="auto"/>
                    </w:rPr>
                    <w:t>r</w:t>
                  </w:r>
                  <w:r>
                    <w:rPr>
                      <w:color w:val="auto"/>
                    </w:rPr>
                    <w:t>gie benötigt und die Funktionsweise eines Katalysators. Dieser Versuch soll den Schülerinnen und Schüler zweigen, dass Zwischenstufen einer chemischen Reaktion ebenfalls eine katalyt</w:t>
                  </w:r>
                  <w:r>
                    <w:rPr>
                      <w:color w:val="auto"/>
                    </w:rPr>
                    <w:t>i</w:t>
                  </w:r>
                  <w:r>
                    <w:rPr>
                      <w:color w:val="auto"/>
                    </w:rPr>
                    <w:t>sche Wirkung auf eine Umsetzungsreaktion haben und die Katalysatoren nicht immer von a</w:t>
                  </w:r>
                  <w:r>
                    <w:rPr>
                      <w:color w:val="auto"/>
                    </w:rPr>
                    <w:t>u</w:t>
                  </w:r>
                  <w:r>
                    <w:rPr>
                      <w:color w:val="auto"/>
                    </w:rPr>
                    <w:t>ßerhalb zugeführt werden müssen.</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AD78B4" w:rsidRPr="009C5E28" w:rsidTr="00AF2FEB">
        <w:tc>
          <w:tcPr>
            <w:tcW w:w="9322" w:type="dxa"/>
            <w:gridSpan w:val="9"/>
            <w:shd w:val="clear" w:color="auto" w:fill="4F81BD"/>
            <w:vAlign w:val="center"/>
          </w:tcPr>
          <w:p w:rsidR="00AD78B4" w:rsidRPr="00F31EBF" w:rsidRDefault="00AD78B4" w:rsidP="00AF2FEB">
            <w:pPr>
              <w:spacing w:after="0"/>
              <w:jc w:val="center"/>
              <w:rPr>
                <w:b/>
                <w:bCs/>
                <w:color w:val="FFFFFF" w:themeColor="background1"/>
              </w:rPr>
            </w:pPr>
            <w:r w:rsidRPr="00F31EBF">
              <w:rPr>
                <w:b/>
                <w:bCs/>
                <w:color w:val="FFFFFF" w:themeColor="background1"/>
              </w:rPr>
              <w:t>Gefahrenstoffe</w:t>
            </w:r>
          </w:p>
        </w:tc>
      </w:tr>
      <w:tr w:rsidR="00AD78B4" w:rsidRPr="009C5E28" w:rsidTr="00AF2FE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D78B4" w:rsidRPr="009C5E28" w:rsidRDefault="00AD78B4" w:rsidP="00AF2FEB">
            <w:pPr>
              <w:spacing w:after="0" w:line="276" w:lineRule="auto"/>
              <w:jc w:val="center"/>
              <w:rPr>
                <w:b/>
                <w:bCs/>
              </w:rPr>
            </w:pPr>
            <w:r>
              <w:rPr>
                <w:sz w:val="20"/>
              </w:rPr>
              <w:t>Oxalsäure</w:t>
            </w:r>
          </w:p>
        </w:tc>
        <w:tc>
          <w:tcPr>
            <w:tcW w:w="3177" w:type="dxa"/>
            <w:gridSpan w:val="3"/>
            <w:tcBorders>
              <w:top w:val="single" w:sz="8" w:space="0" w:color="4F81BD"/>
              <w:bottom w:val="single" w:sz="8" w:space="0" w:color="4F81BD"/>
            </w:tcBorders>
            <w:shd w:val="clear" w:color="auto" w:fill="auto"/>
            <w:vAlign w:val="center"/>
          </w:tcPr>
          <w:p w:rsidR="00AD78B4" w:rsidRPr="009C5E28" w:rsidRDefault="00AD78B4" w:rsidP="00AF2FEB">
            <w:pPr>
              <w:spacing w:after="0"/>
              <w:jc w:val="center"/>
            </w:pPr>
            <w:r w:rsidRPr="009C5E28">
              <w:rPr>
                <w:sz w:val="20"/>
              </w:rPr>
              <w:t xml:space="preserve">H: </w:t>
            </w:r>
            <w:r>
              <w:rPr>
                <w:sz w:val="20"/>
              </w:rPr>
              <w:t>-</w:t>
            </w:r>
            <w:r w:rsidRPr="00B2674B">
              <w:rPr>
                <w:sz w:val="20"/>
              </w:rPr>
              <w:t>302, 312, 318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D78B4" w:rsidRPr="009C5E28" w:rsidRDefault="00AD78B4" w:rsidP="00AF2FEB">
            <w:pPr>
              <w:spacing w:after="0"/>
              <w:jc w:val="center"/>
            </w:pPr>
            <w:r w:rsidRPr="009C5E28">
              <w:rPr>
                <w:sz w:val="20"/>
              </w:rPr>
              <w:t xml:space="preserve">P: </w:t>
            </w:r>
            <w:r>
              <w:rPr>
                <w:sz w:val="20"/>
              </w:rPr>
              <w:t>280, 264a, 301+312, 305+351+338</w:t>
            </w:r>
          </w:p>
        </w:tc>
      </w:tr>
      <w:tr w:rsidR="00AD78B4" w:rsidRPr="009C5E28" w:rsidTr="00AF2FE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D78B4" w:rsidRDefault="00AD78B4" w:rsidP="00AF2FEB">
            <w:pPr>
              <w:spacing w:after="0" w:line="276" w:lineRule="auto"/>
              <w:jc w:val="center"/>
              <w:rPr>
                <w:sz w:val="20"/>
              </w:rPr>
            </w:pPr>
            <w:r>
              <w:rPr>
                <w:sz w:val="20"/>
              </w:rPr>
              <w:t>Kaliumpermanganat</w:t>
            </w:r>
          </w:p>
        </w:tc>
        <w:tc>
          <w:tcPr>
            <w:tcW w:w="3177" w:type="dxa"/>
            <w:gridSpan w:val="3"/>
            <w:tcBorders>
              <w:top w:val="single" w:sz="8" w:space="0" w:color="4F81BD"/>
              <w:bottom w:val="single" w:sz="8" w:space="0" w:color="4F81BD"/>
            </w:tcBorders>
            <w:shd w:val="clear" w:color="auto" w:fill="auto"/>
            <w:vAlign w:val="center"/>
          </w:tcPr>
          <w:p w:rsidR="00AD78B4" w:rsidRPr="009C5E28" w:rsidRDefault="00AD78B4" w:rsidP="00AF2FEB">
            <w:pPr>
              <w:spacing w:after="0"/>
              <w:jc w:val="center"/>
              <w:rPr>
                <w:sz w:val="20"/>
              </w:rPr>
            </w:pPr>
            <w:r>
              <w:rPr>
                <w:sz w:val="20"/>
              </w:rPr>
              <w:t>H: 272, 302, 314,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D78B4" w:rsidRPr="009C5E28" w:rsidRDefault="00AD78B4" w:rsidP="00AF2FEB">
            <w:pPr>
              <w:spacing w:after="0"/>
              <w:jc w:val="center"/>
              <w:rPr>
                <w:sz w:val="20"/>
              </w:rPr>
            </w:pPr>
            <w:r>
              <w:rPr>
                <w:sz w:val="20"/>
              </w:rPr>
              <w:t>P: 220,273, 280, 305+ 351+ 338, 501.1</w:t>
            </w:r>
          </w:p>
        </w:tc>
      </w:tr>
      <w:tr w:rsidR="00AD78B4" w:rsidRPr="009C5E28" w:rsidTr="00AF2FE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D78B4" w:rsidRDefault="00AD78B4" w:rsidP="00AF2FEB">
            <w:pPr>
              <w:spacing w:after="0" w:line="276" w:lineRule="auto"/>
              <w:jc w:val="center"/>
              <w:rPr>
                <w:sz w:val="20"/>
              </w:rPr>
            </w:pPr>
            <w:r>
              <w:rPr>
                <w:sz w:val="20"/>
              </w:rPr>
              <w:t>Mangansulfat</w:t>
            </w:r>
          </w:p>
        </w:tc>
        <w:tc>
          <w:tcPr>
            <w:tcW w:w="3177" w:type="dxa"/>
            <w:gridSpan w:val="3"/>
            <w:tcBorders>
              <w:top w:val="single" w:sz="8" w:space="0" w:color="4F81BD"/>
              <w:bottom w:val="single" w:sz="8" w:space="0" w:color="4F81BD"/>
            </w:tcBorders>
            <w:shd w:val="clear" w:color="auto" w:fill="auto"/>
            <w:vAlign w:val="center"/>
          </w:tcPr>
          <w:p w:rsidR="00AD78B4" w:rsidRDefault="00AD78B4" w:rsidP="00AF2FEB">
            <w:pPr>
              <w:spacing w:after="0"/>
              <w:jc w:val="center"/>
              <w:rPr>
                <w:sz w:val="20"/>
              </w:rPr>
            </w:pPr>
            <w:r>
              <w:rPr>
                <w:sz w:val="20"/>
              </w:rPr>
              <w:t>H: 373, 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D78B4" w:rsidRDefault="00AD78B4" w:rsidP="00AF2FEB">
            <w:pPr>
              <w:spacing w:after="0"/>
              <w:jc w:val="center"/>
              <w:rPr>
                <w:sz w:val="20"/>
              </w:rPr>
            </w:pPr>
            <w:r>
              <w:rPr>
                <w:sz w:val="20"/>
              </w:rPr>
              <w:t>P: 273</w:t>
            </w:r>
          </w:p>
        </w:tc>
      </w:tr>
      <w:tr w:rsidR="00AD78B4" w:rsidRPr="009C5E28" w:rsidTr="00AF2FE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D78B4" w:rsidRDefault="00AD78B4" w:rsidP="00AF2FEB">
            <w:pPr>
              <w:spacing w:after="0" w:line="276" w:lineRule="auto"/>
              <w:jc w:val="center"/>
              <w:rPr>
                <w:sz w:val="20"/>
              </w:rPr>
            </w:pPr>
            <w:r>
              <w:rPr>
                <w:sz w:val="20"/>
              </w:rPr>
              <w:t>Schwefelsäure</w:t>
            </w:r>
          </w:p>
        </w:tc>
        <w:tc>
          <w:tcPr>
            <w:tcW w:w="3177" w:type="dxa"/>
            <w:gridSpan w:val="3"/>
            <w:tcBorders>
              <w:top w:val="single" w:sz="8" w:space="0" w:color="4F81BD"/>
              <w:bottom w:val="single" w:sz="8" w:space="0" w:color="4F81BD"/>
            </w:tcBorders>
            <w:shd w:val="clear" w:color="auto" w:fill="auto"/>
            <w:vAlign w:val="center"/>
          </w:tcPr>
          <w:p w:rsidR="00AD78B4" w:rsidRDefault="00AD78B4" w:rsidP="00AF2FEB">
            <w:pPr>
              <w:spacing w:after="0"/>
              <w:jc w:val="center"/>
              <w:rPr>
                <w:sz w:val="20"/>
              </w:rPr>
            </w:pPr>
            <w:r>
              <w:rPr>
                <w:sz w:val="20"/>
              </w:rPr>
              <w:t>H:290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D78B4" w:rsidRDefault="00AD78B4" w:rsidP="00AF2FEB">
            <w:pPr>
              <w:spacing w:after="0"/>
              <w:jc w:val="center"/>
              <w:rPr>
                <w:sz w:val="20"/>
              </w:rPr>
            </w:pPr>
            <w:r>
              <w:rPr>
                <w:sz w:val="20"/>
              </w:rPr>
              <w:t>P:280,301+330+331, 305+351+338</w:t>
            </w:r>
          </w:p>
        </w:tc>
      </w:tr>
      <w:tr w:rsidR="00AD78B4" w:rsidRPr="009C5E28" w:rsidTr="00AF2FE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D78B4" w:rsidRDefault="00AD78B4" w:rsidP="00AF2FEB">
            <w:pPr>
              <w:spacing w:after="0" w:line="276" w:lineRule="auto"/>
              <w:jc w:val="center"/>
              <w:rPr>
                <w:sz w:val="20"/>
              </w:rPr>
            </w:pPr>
            <w:r>
              <w:rPr>
                <w:sz w:val="20"/>
              </w:rPr>
              <w:t>Kohlenstoffdioxid</w:t>
            </w:r>
          </w:p>
        </w:tc>
        <w:tc>
          <w:tcPr>
            <w:tcW w:w="3177" w:type="dxa"/>
            <w:gridSpan w:val="3"/>
            <w:tcBorders>
              <w:top w:val="single" w:sz="8" w:space="0" w:color="4F81BD"/>
              <w:bottom w:val="single" w:sz="8" w:space="0" w:color="4F81BD"/>
            </w:tcBorders>
            <w:shd w:val="clear" w:color="auto" w:fill="auto"/>
            <w:vAlign w:val="center"/>
          </w:tcPr>
          <w:p w:rsidR="00AD78B4" w:rsidRDefault="00AD78B4" w:rsidP="00AF2FEB">
            <w:pPr>
              <w:spacing w:after="0"/>
              <w:jc w:val="center"/>
              <w:rPr>
                <w:sz w:val="20"/>
              </w:rPr>
            </w:pPr>
            <w:r>
              <w:rPr>
                <w:sz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D78B4" w:rsidRDefault="00AD78B4" w:rsidP="00AF2FEB">
            <w:pPr>
              <w:spacing w:after="0"/>
              <w:jc w:val="center"/>
              <w:rPr>
                <w:sz w:val="20"/>
              </w:rPr>
            </w:pPr>
            <w:r>
              <w:rPr>
                <w:sz w:val="20"/>
              </w:rPr>
              <w:t>P: 403</w:t>
            </w:r>
          </w:p>
        </w:tc>
      </w:tr>
      <w:tr w:rsidR="00AD78B4" w:rsidRPr="009C5E28" w:rsidTr="00AF2FE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D78B4" w:rsidRDefault="00AD78B4" w:rsidP="00AF2FEB">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AD78B4" w:rsidRDefault="00AD78B4" w:rsidP="00AF2FEB">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D78B4" w:rsidRDefault="00AD78B4" w:rsidP="00AF2FEB">
            <w:pPr>
              <w:spacing w:after="0"/>
              <w:jc w:val="center"/>
              <w:rPr>
                <w:sz w:val="20"/>
              </w:rPr>
            </w:pPr>
            <w:r>
              <w:rPr>
                <w:sz w:val="20"/>
              </w:rPr>
              <w:t>P: -</w:t>
            </w:r>
          </w:p>
        </w:tc>
      </w:tr>
      <w:tr w:rsidR="00AD78B4" w:rsidRPr="009C5E28" w:rsidTr="00AF2FEB">
        <w:tc>
          <w:tcPr>
            <w:tcW w:w="1009" w:type="dxa"/>
            <w:tcBorders>
              <w:top w:val="single" w:sz="8" w:space="0" w:color="4F81BD"/>
              <w:left w:val="single" w:sz="8" w:space="0" w:color="4F81BD"/>
              <w:bottom w:val="single" w:sz="8" w:space="0" w:color="4F81BD"/>
            </w:tcBorders>
            <w:shd w:val="clear" w:color="auto" w:fill="auto"/>
            <w:vAlign w:val="center"/>
          </w:tcPr>
          <w:p w:rsidR="00AD78B4" w:rsidRPr="009C5E28" w:rsidRDefault="00AD78B4" w:rsidP="00AF2FEB">
            <w:pPr>
              <w:spacing w:after="0"/>
              <w:jc w:val="center"/>
              <w:rPr>
                <w:b/>
                <w:bCs/>
              </w:rPr>
            </w:pPr>
            <w:r>
              <w:rPr>
                <w:b/>
                <w:bCs/>
                <w:noProof/>
                <w:lang w:eastAsia="de-DE"/>
              </w:rPr>
              <w:drawing>
                <wp:inline distT="0" distB="0" distL="0" distR="0">
                  <wp:extent cx="504000" cy="504000"/>
                  <wp:effectExtent l="19050" t="0" r="0" b="0"/>
                  <wp:docPr id="92" name="Bild 13" descr="C:\Users\Kristina\Documents\SVP CHEMIE\Piktogramm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istina\Documents\SVP CHEMIE\Piktogramme\Piktogramme\Ätzend.png"/>
                          <pic:cNvPicPr>
                            <a:picLocks noChangeAspect="1" noChangeArrowheads="1"/>
                          </pic:cNvPicPr>
                        </pic:nvPicPr>
                        <pic:blipFill>
                          <a:blip r:embed="rId5"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D78B4" w:rsidRPr="009C5E28" w:rsidRDefault="00AD78B4" w:rsidP="00AF2FEB">
            <w:pPr>
              <w:spacing w:after="0"/>
              <w:jc w:val="center"/>
            </w:pPr>
            <w:r>
              <w:rPr>
                <w:noProof/>
                <w:lang w:eastAsia="de-DE"/>
              </w:rPr>
              <w:drawing>
                <wp:inline distT="0" distB="0" distL="0" distR="0">
                  <wp:extent cx="504000" cy="504000"/>
                  <wp:effectExtent l="19050" t="0" r="0" b="0"/>
                  <wp:docPr id="93" name="Bild 15" descr="C:\Users\Kristina\Documents\SVP CHEMIE\Piktogramm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istina\Documents\SVP CHEMIE\Piktogramme\Piktogramme\Brandfördernd.png"/>
                          <pic:cNvPicPr>
                            <a:picLocks noChangeAspect="1" noChangeArrowheads="1"/>
                          </pic:cNvPicPr>
                        </pic:nvPicPr>
                        <pic:blipFill>
                          <a:blip r:embed="rId6"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D78B4" w:rsidRPr="009C5E28" w:rsidRDefault="00AD78B4" w:rsidP="00AF2FEB">
            <w:pPr>
              <w:spacing w:after="0"/>
              <w:jc w:val="center"/>
            </w:pPr>
            <w:r>
              <w:rPr>
                <w:noProof/>
                <w:lang w:eastAsia="de-DE"/>
              </w:rPr>
              <w:drawing>
                <wp:inline distT="0" distB="0" distL="0" distR="0">
                  <wp:extent cx="504668" cy="504000"/>
                  <wp:effectExtent l="19050" t="0" r="0" b="0"/>
                  <wp:docPr id="94" name="Bild 30" descr="C:\Users\Kristina\Documents\SVP CHEMIE\Piktogramme\Piktogramme\Grau\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ristina\Documents\SVP CHEMIE\Piktogramme\Piktogramme\Grau\Brennbar.png"/>
                          <pic:cNvPicPr>
                            <a:picLocks noChangeAspect="1" noChangeArrowheads="1"/>
                          </pic:cNvPicPr>
                        </pic:nvPicPr>
                        <pic:blipFill>
                          <a:blip r:embed="rId7" cstate="print"/>
                          <a:srcRect/>
                          <a:stretch>
                            <a:fillRect/>
                          </a:stretch>
                        </pic:blipFill>
                        <pic:spPr bwMode="auto">
                          <a:xfrm>
                            <a:off x="0" y="0"/>
                            <a:ext cx="504668"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D78B4" w:rsidRPr="009C5E28" w:rsidRDefault="00AD78B4" w:rsidP="00AF2FEB">
            <w:pPr>
              <w:spacing w:after="0"/>
              <w:jc w:val="center"/>
            </w:pPr>
            <w:r>
              <w:rPr>
                <w:noProof/>
                <w:lang w:eastAsia="de-DE"/>
              </w:rPr>
              <w:drawing>
                <wp:inline distT="0" distB="0" distL="0" distR="0">
                  <wp:extent cx="504190" cy="504190"/>
                  <wp:effectExtent l="0" t="0" r="0" b="0"/>
                  <wp:docPr id="9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D78B4" w:rsidRPr="009C5E28" w:rsidRDefault="00AD78B4" w:rsidP="00AF2FEB">
            <w:pPr>
              <w:spacing w:after="0"/>
              <w:jc w:val="center"/>
            </w:pPr>
            <w:r w:rsidRPr="00870491">
              <w:rPr>
                <w:noProof/>
                <w:lang w:eastAsia="de-DE"/>
              </w:rPr>
              <w:drawing>
                <wp:inline distT="0" distB="0" distL="0" distR="0">
                  <wp:extent cx="504000" cy="504000"/>
                  <wp:effectExtent l="19050" t="0" r="0" b="0"/>
                  <wp:docPr id="96" name="Bild 5" descr="C:\Users\Kristina\Documents\SVP CHEMIE\Piktogramm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ocuments\SVP CHEMIE\Piktogramme\Piktogramme\Gasflasche.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D78B4" w:rsidRPr="009C5E28" w:rsidRDefault="00AD78B4" w:rsidP="00AF2FEB">
            <w:pPr>
              <w:spacing w:after="0"/>
              <w:jc w:val="center"/>
            </w:pPr>
            <w:r>
              <w:rPr>
                <w:noProof/>
                <w:lang w:eastAsia="de-DE"/>
              </w:rPr>
              <w:drawing>
                <wp:inline distT="0" distB="0" distL="0" distR="0">
                  <wp:extent cx="504000" cy="504000"/>
                  <wp:effectExtent l="19050" t="0" r="0" b="0"/>
                  <wp:docPr id="97" name="Bild 17" descr="C:\Users\Kristina\Documents\SVP CHEMIE\Piktogramm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istina\Documents\SVP CHEMIE\Piktogramme\Piktogramme\Gesundheitsgefahr.png"/>
                          <pic:cNvPicPr>
                            <a:picLocks noChangeAspect="1" noChangeArrowheads="1"/>
                          </pic:cNvPicPr>
                        </pic:nvPicPr>
                        <pic:blipFill>
                          <a:blip r:embed="rId10"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D78B4" w:rsidRPr="009C5E28" w:rsidRDefault="00AD78B4" w:rsidP="00AF2FEB">
            <w:pPr>
              <w:spacing w:after="0"/>
              <w:jc w:val="center"/>
            </w:pPr>
            <w:r>
              <w:rPr>
                <w:noProof/>
                <w:lang w:eastAsia="de-DE"/>
              </w:rPr>
              <w:drawing>
                <wp:inline distT="0" distB="0" distL="0" distR="0">
                  <wp:extent cx="504190" cy="504190"/>
                  <wp:effectExtent l="0" t="0" r="0" b="0"/>
                  <wp:docPr id="9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D78B4" w:rsidRPr="009C5E28" w:rsidRDefault="00AD78B4" w:rsidP="00AF2FEB">
            <w:pPr>
              <w:spacing w:after="0"/>
              <w:jc w:val="center"/>
            </w:pPr>
            <w:r>
              <w:rPr>
                <w:noProof/>
                <w:lang w:eastAsia="de-DE"/>
              </w:rPr>
              <w:drawing>
                <wp:inline distT="0" distB="0" distL="0" distR="0">
                  <wp:extent cx="504000" cy="504000"/>
                  <wp:effectExtent l="19050" t="0" r="0" b="0"/>
                  <wp:docPr id="99" name="Bild 14" descr="C:\Users\Kristina\Documents\SVP CHEMIE\Piktogramm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stina\Documents\SVP CHEMIE\Piktogramme\Piktogramme\Reizend.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D78B4" w:rsidRPr="009C5E28" w:rsidRDefault="00AD78B4" w:rsidP="00AF2FEB">
            <w:pPr>
              <w:spacing w:after="0"/>
              <w:jc w:val="center"/>
            </w:pPr>
            <w:r>
              <w:rPr>
                <w:noProof/>
                <w:lang w:eastAsia="de-DE"/>
              </w:rPr>
              <w:drawing>
                <wp:inline distT="0" distB="0" distL="0" distR="0">
                  <wp:extent cx="504000" cy="504000"/>
                  <wp:effectExtent l="19050" t="0" r="0" b="0"/>
                  <wp:docPr id="100" name="Bild 16" descr="C:\Users\Kristina\Documents\SVP CHEMIE\Piktogramm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ristina\Documents\SVP CHEMIE\Piktogramme\Piktogramme\Umweltgefahr.png"/>
                          <pic:cNvPicPr>
                            <a:picLocks noChangeAspect="1" noChangeArrowheads="1"/>
                          </pic:cNvPicPr>
                        </pic:nvPicPr>
                        <pic:blipFill>
                          <a:blip r:embed="rId1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r>
    </w:tbl>
    <w:p w:rsidR="00AD78B4" w:rsidRDefault="00AD78B4" w:rsidP="00AD78B4">
      <w:pPr>
        <w:tabs>
          <w:tab w:val="left" w:pos="1701"/>
          <w:tab w:val="left" w:pos="1985"/>
        </w:tabs>
        <w:ind w:left="1980" w:hanging="1980"/>
      </w:pPr>
    </w:p>
    <w:p w:rsidR="00AD78B4" w:rsidRDefault="00AD78B4" w:rsidP="00AD78B4">
      <w:pPr>
        <w:tabs>
          <w:tab w:val="left" w:pos="1701"/>
          <w:tab w:val="left" w:pos="1985"/>
        </w:tabs>
        <w:ind w:left="1980" w:hanging="1980"/>
      </w:pPr>
      <w:r>
        <w:t xml:space="preserve">Materialien: </w:t>
      </w:r>
      <w:r>
        <w:tab/>
      </w:r>
      <w:r>
        <w:tab/>
        <w:t xml:space="preserve">6 Reagenzgläser, Reagenzglasständer, 3 Pipetten, </w:t>
      </w:r>
      <w:proofErr w:type="spellStart"/>
      <w:r>
        <w:t>Peleusball</w:t>
      </w:r>
      <w:proofErr w:type="spellEnd"/>
      <w:r>
        <w:t>, Spritzflasche, Abzug, 6 Gummistopfen</w:t>
      </w:r>
    </w:p>
    <w:p w:rsidR="00AD78B4" w:rsidRPr="00ED07C2" w:rsidRDefault="00AD78B4" w:rsidP="00AD78B4">
      <w:pPr>
        <w:tabs>
          <w:tab w:val="left" w:pos="1701"/>
          <w:tab w:val="left" w:pos="1985"/>
        </w:tabs>
        <w:ind w:left="1980" w:hanging="1980"/>
      </w:pPr>
      <w:r>
        <w:t>Chemikalien:</w:t>
      </w:r>
      <w:r>
        <w:tab/>
      </w:r>
      <w:r>
        <w:tab/>
        <w:t xml:space="preserve">Oxalsäure (c= 0,05 </w:t>
      </w:r>
      <w:proofErr w:type="spellStart"/>
      <w:r>
        <w:t>mol</w:t>
      </w:r>
      <w:proofErr w:type="spellEnd"/>
      <w:r>
        <w:t xml:space="preserve">/L), Kaliumpermanganat (c= 0,02 </w:t>
      </w:r>
      <w:proofErr w:type="spellStart"/>
      <w:r>
        <w:t>mol</w:t>
      </w:r>
      <w:proofErr w:type="spellEnd"/>
      <w:r>
        <w:t xml:space="preserve">/L, frisch zubereitet), Mangansulfat (c= 0,1 </w:t>
      </w:r>
      <w:proofErr w:type="spellStart"/>
      <w:r>
        <w:t>mol</w:t>
      </w:r>
      <w:proofErr w:type="spellEnd"/>
      <w:r>
        <w:t>/L) und halbkonzentrierte Schwefelsä</w:t>
      </w:r>
      <w:r>
        <w:t>u</w:t>
      </w:r>
      <w:r>
        <w:t>re</w:t>
      </w:r>
    </w:p>
    <w:p w:rsidR="00AD78B4" w:rsidRDefault="00AD78B4" w:rsidP="00AD78B4">
      <w:pPr>
        <w:tabs>
          <w:tab w:val="left" w:pos="1701"/>
          <w:tab w:val="left" w:pos="1985"/>
        </w:tabs>
        <w:ind w:left="1980" w:hanging="1980"/>
        <w:rPr>
          <w:noProof/>
          <w:lang w:eastAsia="de-DE"/>
        </w:rPr>
      </w:pPr>
      <w:r>
        <w:t xml:space="preserve">Durchführung: </w:t>
      </w:r>
      <w:r>
        <w:tab/>
      </w:r>
      <w:r>
        <w:tab/>
        <w:t xml:space="preserve">Zu Beginn werden die Reagenzgläser von 1-5 durchnummeriert. In das </w:t>
      </w:r>
      <w:proofErr w:type="spellStart"/>
      <w:r>
        <w:t>unbeschriftete</w:t>
      </w:r>
      <w:proofErr w:type="spellEnd"/>
      <w:r>
        <w:t xml:space="preserve"> Reagenzglas werden 2 </w:t>
      </w:r>
      <w:proofErr w:type="spellStart"/>
      <w:r>
        <w:t>mL</w:t>
      </w:r>
      <w:proofErr w:type="spellEnd"/>
      <w:r>
        <w:t xml:space="preserve"> Wasser gefüllt. In die beschrift</w:t>
      </w:r>
      <w:r>
        <w:t>e</w:t>
      </w:r>
      <w:r>
        <w:t xml:space="preserve">ten Reagenzgläser 1-5 werden 2 </w:t>
      </w:r>
      <w:proofErr w:type="spellStart"/>
      <w:r>
        <w:t>mL</w:t>
      </w:r>
      <w:proofErr w:type="spellEnd"/>
      <w:r>
        <w:t xml:space="preserve"> Oxalsäure und 1 </w:t>
      </w:r>
      <w:proofErr w:type="spellStart"/>
      <w:r>
        <w:t>mL</w:t>
      </w:r>
      <w:proofErr w:type="spellEnd"/>
      <w:r>
        <w:t xml:space="preserve"> Schwefelsäure g</w:t>
      </w:r>
      <w:r>
        <w:t>e</w:t>
      </w:r>
      <w:r>
        <w:t xml:space="preserve">füllt. In das Reagenzglas 1 wird keine Mangansulfat-Lösung gegeben. In die Reagenzgläser 2-5 werden 0,1, 0,2, 0,4, 0,5 </w:t>
      </w:r>
      <w:proofErr w:type="spellStart"/>
      <w:r>
        <w:t>mL</w:t>
      </w:r>
      <w:proofErr w:type="spellEnd"/>
      <w:r>
        <w:t xml:space="preserve"> Mangansulfat-Lösung geg</w:t>
      </w:r>
      <w:r>
        <w:t>e</w:t>
      </w:r>
      <w:r>
        <w:t>ben. Alle Reagenzgläser werden mit destilliertem Wasser</w:t>
      </w:r>
      <w:r w:rsidRPr="00270442">
        <w:rPr>
          <w:noProof/>
          <w:lang w:eastAsia="de-DE"/>
        </w:rPr>
        <w:t xml:space="preserve"> </w:t>
      </w:r>
      <w:r>
        <w:rPr>
          <w:noProof/>
          <w:lang w:eastAsia="de-DE"/>
        </w:rPr>
        <w:t xml:space="preserve">auf das gleiche Volumen gebracht. Nun wird in alle 6 </w:t>
      </w:r>
      <w:r>
        <w:rPr>
          <w:noProof/>
          <w:lang w:eastAsia="de-DE"/>
        </w:rPr>
        <w:lastRenderedPageBreak/>
        <w:t>Reagenzgläser 1 mL Kalimpermanganat gegeben. Das unbeschriftete Reagenzglas dient als Vergleichsprobe. Die Zeiten bis zur vollständigen Entfärbung sollten notiert werden.</w:t>
      </w:r>
    </w:p>
    <w:p w:rsidR="00AD78B4" w:rsidRDefault="00AD78B4" w:rsidP="00AD78B4">
      <w:pPr>
        <w:tabs>
          <w:tab w:val="left" w:pos="1701"/>
          <w:tab w:val="left" w:pos="1985"/>
        </w:tabs>
        <w:ind w:left="1980" w:hanging="1980"/>
      </w:pPr>
      <w:r>
        <w:t>Beobachtung:</w:t>
      </w:r>
      <w:r>
        <w:tab/>
      </w:r>
      <w:r>
        <w:tab/>
      </w:r>
      <w:r>
        <w:tab/>
        <w:t>In dem Vergleichsreagenzglas liegt eine violette Färbung durch das Kaliumpermanganat vor. Diese Färbung tritt bei all den anderen Reagenzgl</w:t>
      </w:r>
      <w:r>
        <w:t>ä</w:t>
      </w:r>
      <w:r>
        <w:t>sern auch auf, nur, dass die violette Färbung sich nach kurzer Zeit ändert. Der Farbverlauf ist von violett über braun (siehe Abbildung 8) zu farblos (siehe Abbildung 9). Es wird ebenfalls beobachtet, dass die Zeit der Entfä</w:t>
      </w:r>
      <w:r>
        <w:t>r</w:t>
      </w:r>
      <w:r>
        <w:t>bung von Reagenzglas 1-5 in immer kürzeren Zeitintervallen geschieht.</w:t>
      </w:r>
    </w:p>
    <w:p w:rsidR="00AD78B4" w:rsidRDefault="00AD78B4" w:rsidP="00AD78B4">
      <w:pPr>
        <w:pStyle w:val="Beschriftung"/>
        <w:jc w:val="center"/>
      </w:pPr>
      <w:r>
        <w:rPr>
          <w:bCs w:val="0"/>
          <w:noProof/>
          <w:lang w:eastAsia="de-DE"/>
        </w:rPr>
        <w:drawing>
          <wp:inline distT="0" distB="0" distL="0" distR="0">
            <wp:extent cx="4562475" cy="1590675"/>
            <wp:effectExtent l="19050" t="0" r="9525" b="0"/>
            <wp:docPr id="10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4562475" cy="1590675"/>
                    </a:xfrm>
                    <a:prstGeom prst="rect">
                      <a:avLst/>
                    </a:prstGeom>
                    <a:noFill/>
                    <a:ln w="9525">
                      <a:noFill/>
                      <a:miter lim="800000"/>
                      <a:headEnd/>
                      <a:tailEnd/>
                    </a:ln>
                  </pic:spPr>
                </pic:pic>
              </a:graphicData>
            </a:graphic>
          </wp:inline>
        </w:drawing>
      </w:r>
    </w:p>
    <w:p w:rsidR="00AD78B4" w:rsidRDefault="00AD78B4" w:rsidP="00AD78B4">
      <w:pPr>
        <w:pStyle w:val="Beschriftung"/>
        <w:jc w:val="center"/>
      </w:pPr>
      <w:r>
        <w:t>Abbildung 8: Autokatalytische Reaktion von Kaliumpermanganat mit Oxalsäure. Ganz links ist die Vergleichsprobe zu sehen. Danach ist von links nach rechts der Reihe nach Reagenzglas 1-5, mit brauner Färbung.</w:t>
      </w:r>
    </w:p>
    <w:p w:rsidR="00AD78B4" w:rsidRDefault="00AD78B4" w:rsidP="00AD78B4">
      <w:pPr>
        <w:keepNext/>
        <w:jc w:val="center"/>
      </w:pPr>
      <w:r>
        <w:rPr>
          <w:noProof/>
          <w:lang w:eastAsia="de-DE"/>
        </w:rPr>
        <w:drawing>
          <wp:inline distT="0" distB="0" distL="0" distR="0">
            <wp:extent cx="5108372" cy="1260000"/>
            <wp:effectExtent l="19050" t="0" r="0" b="0"/>
            <wp:docPr id="10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5108372" cy="1260000"/>
                    </a:xfrm>
                    <a:prstGeom prst="rect">
                      <a:avLst/>
                    </a:prstGeom>
                    <a:noFill/>
                    <a:ln w="9525">
                      <a:noFill/>
                      <a:miter lim="800000"/>
                      <a:headEnd/>
                      <a:tailEnd/>
                    </a:ln>
                  </pic:spPr>
                </pic:pic>
              </a:graphicData>
            </a:graphic>
          </wp:inline>
        </w:drawing>
      </w:r>
    </w:p>
    <w:p w:rsidR="00AD78B4" w:rsidRPr="00255BBD" w:rsidRDefault="00AD78B4" w:rsidP="00AD78B4">
      <w:pPr>
        <w:pStyle w:val="Beschriftung"/>
        <w:jc w:val="center"/>
      </w:pPr>
      <w:r>
        <w:t>Abbildung 9: Ende der Autokatalyse von Kaliumpermanganat mit Oxalsäure. Ganz links ist die violette Vergleichsl</w:t>
      </w:r>
      <w:r>
        <w:t>ö</w:t>
      </w:r>
      <w:r>
        <w:t xml:space="preserve">sung zu erkennen. Danach in der Reihenfolge von links nach rechts </w:t>
      </w:r>
      <w:proofErr w:type="gramStart"/>
      <w:r>
        <w:t>die Reagenzgläser</w:t>
      </w:r>
      <w:proofErr w:type="gramEnd"/>
      <w:r>
        <w:t xml:space="preserve"> 1-4 alle sind farblos.</w:t>
      </w:r>
    </w:p>
    <w:p w:rsidR="00AD78B4" w:rsidRDefault="00AD78B4" w:rsidP="00AD78B4">
      <w:pPr>
        <w:tabs>
          <w:tab w:val="left" w:pos="1701"/>
          <w:tab w:val="left" w:pos="1985"/>
        </w:tabs>
        <w:ind w:left="2124" w:hanging="2124"/>
      </w:pPr>
      <w:r>
        <w:t>Deutung:</w:t>
      </w:r>
      <w:r>
        <w:tab/>
      </w:r>
      <w:r>
        <w:tab/>
      </w:r>
      <w:r>
        <w:tab/>
        <w:t>Die violette Färbung im Vergleichsglas ist durch das Kaliumpermanganat bedient. Die braune Farbe der Lösungen 2-5 in der Abbildung 5 kommt durch Manganoxid, das auch Braunstein genannt wird. In Abbildung 6 sind die Lösungen 1-5 farblos. Dies zeigt das Ende der Oxidationsreaktion von Kaliumpermanganat mit Oxalsäure an. Das immer kürzer werdende Zeitintervall der Entfärbung ist dadurch bedingt, dass die Mn</w:t>
      </w:r>
      <w:r w:rsidRPr="00AD4CB8">
        <w:rPr>
          <w:vertAlign w:val="superscript"/>
        </w:rPr>
        <w:t>2+</w:t>
      </w:r>
      <w:r>
        <w:t>-Ionen die Reaktion katalysieren. Je mehr Mn</w:t>
      </w:r>
      <w:r>
        <w:rPr>
          <w:vertAlign w:val="superscript"/>
        </w:rPr>
        <w:t>2+</w:t>
      </w:r>
      <w:r>
        <w:t>-Ionen, die aus dem Mangansulfat stammen, vorhanden sind, desto schneller verläuft die Reaktion. Das Re</w:t>
      </w:r>
      <w:r>
        <w:t>a</w:t>
      </w:r>
      <w:r>
        <w:t xml:space="preserve">genzglas 1 benötigt die längste Zeit zur Entfärbung, da hier im Vorfeld </w:t>
      </w:r>
      <w:r>
        <w:lastRenderedPageBreak/>
        <w:t>keine Mn</w:t>
      </w:r>
      <w:r w:rsidRPr="00AD4CB8">
        <w:rPr>
          <w:vertAlign w:val="superscript"/>
        </w:rPr>
        <w:t>2+</w:t>
      </w:r>
      <w:r>
        <w:t>-Ionen in Form von Mangansulfat hinzugefügt wurden. Dort muss die Reaktion bis zur Bildung von Mn</w:t>
      </w:r>
      <w:r w:rsidRPr="00AD4CB8">
        <w:rPr>
          <w:vertAlign w:val="superscript"/>
        </w:rPr>
        <w:t>2+</w:t>
      </w:r>
      <w:r>
        <w:t xml:space="preserve">-Ionen ablaufen und diese  gebildeten Ionen katalysieren dann erst die Reaktion. Der Braunstein ist ein stabiles Zwischenprodukt und wird im Verlauf der Reaktion gebildet und wieder umgesetzt. Damit die Reaktion nicht auf der Stufe des </w:t>
      </w:r>
      <w:proofErr w:type="gramStart"/>
      <w:r>
        <w:t>Brau</w:t>
      </w:r>
      <w:r>
        <w:t>n</w:t>
      </w:r>
      <w:r>
        <w:t>stein</w:t>
      </w:r>
      <w:proofErr w:type="gramEnd"/>
      <w:r>
        <w:t xml:space="preserve"> stehen bleibt wurde mit Salpetersäure angesäuert. Da im sauern B</w:t>
      </w:r>
      <w:r>
        <w:t>e</w:t>
      </w:r>
      <w:r>
        <w:t>reich die Oxidation vom Permanganat-Ion bis zum Mangan-Ion stattfi</w:t>
      </w:r>
      <w:r>
        <w:t>n</w:t>
      </w:r>
      <w:r>
        <w:t>den kann.</w:t>
      </w:r>
    </w:p>
    <w:p w:rsidR="00AD78B4" w:rsidRPr="00020B18" w:rsidRDefault="00AD78B4" w:rsidP="00AD78B4">
      <w:pPr>
        <w:tabs>
          <w:tab w:val="left" w:pos="1701"/>
          <w:tab w:val="left" w:pos="1985"/>
        </w:tabs>
        <w:ind w:left="2124" w:hanging="2124"/>
        <w:rPr>
          <w:rFonts w:asciiTheme="majorHAnsi" w:hAnsiTheme="majorHAnsi"/>
        </w:rPr>
      </w:pPr>
      <w:r w:rsidRPr="00140D02">
        <w:tab/>
      </w:r>
      <w:r w:rsidRPr="00140D02">
        <w:tab/>
      </w:r>
      <w:r w:rsidRPr="00140D02">
        <w:tab/>
      </w:r>
      <w:r w:rsidRPr="00020B18">
        <w:rPr>
          <w:rFonts w:asciiTheme="majorHAnsi" w:hAnsiTheme="majorHAnsi"/>
          <w:u w:val="single"/>
        </w:rPr>
        <w:t>Wortgleichung:</w:t>
      </w:r>
      <w:r w:rsidRPr="00020B18">
        <w:rPr>
          <w:rFonts w:asciiTheme="majorHAnsi" w:hAnsiTheme="majorHAnsi"/>
        </w:rPr>
        <w:t xml:space="preserve"> Oxalsäure + Kaliumpermanganat + Protonen → Kohlen</w:t>
      </w:r>
      <w:r>
        <w:rPr>
          <w:rFonts w:asciiTheme="majorHAnsi" w:hAnsiTheme="majorHAnsi"/>
        </w:rPr>
        <w:t>-</w:t>
      </w:r>
      <w:r w:rsidRPr="00020B18">
        <w:rPr>
          <w:rFonts w:asciiTheme="majorHAnsi" w:hAnsiTheme="majorHAnsi"/>
        </w:rPr>
        <w:tab/>
      </w:r>
      <w:r w:rsidRPr="00020B18">
        <w:rPr>
          <w:rFonts w:asciiTheme="majorHAnsi" w:hAnsiTheme="majorHAnsi"/>
        </w:rPr>
        <w:tab/>
        <w:t xml:space="preserve">    </w:t>
      </w:r>
      <w:proofErr w:type="spellStart"/>
      <w:r w:rsidRPr="00020B18">
        <w:rPr>
          <w:rFonts w:asciiTheme="majorHAnsi" w:hAnsiTheme="majorHAnsi"/>
        </w:rPr>
        <w:t>stoffdioxid</w:t>
      </w:r>
      <w:proofErr w:type="spellEnd"/>
      <w:r w:rsidRPr="00020B18">
        <w:rPr>
          <w:rFonts w:asciiTheme="majorHAnsi" w:hAnsiTheme="majorHAnsi"/>
        </w:rPr>
        <w:t xml:space="preserve"> + Mangan-Ionen +Wasser</w:t>
      </w:r>
    </w:p>
    <w:p w:rsidR="00AD78B4" w:rsidRPr="00020B18" w:rsidRDefault="00AD78B4" w:rsidP="00AD78B4">
      <w:pPr>
        <w:tabs>
          <w:tab w:val="left" w:pos="1701"/>
          <w:tab w:val="left" w:pos="1985"/>
        </w:tabs>
        <w:ind w:left="2124" w:hanging="2124"/>
        <w:rPr>
          <w:rFonts w:asciiTheme="majorHAnsi" w:hAnsiTheme="majorHAnsi"/>
        </w:rPr>
      </w:pPr>
      <w:r w:rsidRPr="00020B18">
        <w:rPr>
          <w:rFonts w:asciiTheme="majorHAnsi" w:hAnsiTheme="majorHAnsi"/>
        </w:rPr>
        <w:tab/>
      </w:r>
      <w:r w:rsidRPr="00020B18">
        <w:rPr>
          <w:rFonts w:asciiTheme="majorHAnsi" w:hAnsiTheme="majorHAnsi"/>
        </w:rPr>
        <w:tab/>
      </w:r>
      <w:r w:rsidRPr="00020B18">
        <w:rPr>
          <w:rFonts w:asciiTheme="majorHAnsi" w:hAnsiTheme="majorHAnsi"/>
        </w:rPr>
        <w:tab/>
      </w:r>
      <w:r w:rsidRPr="00020B18">
        <w:rPr>
          <w:rFonts w:asciiTheme="majorHAnsi" w:hAnsiTheme="majorHAnsi"/>
          <w:u w:val="single"/>
        </w:rPr>
        <w:t>Teilgleichungen:</w:t>
      </w:r>
    </w:p>
    <w:p w:rsidR="00AD78B4" w:rsidRPr="009E5DBF" w:rsidRDefault="00AD78B4" w:rsidP="00AD78B4">
      <w:pPr>
        <w:tabs>
          <w:tab w:val="left" w:pos="1701"/>
          <w:tab w:val="left" w:pos="1985"/>
        </w:tabs>
        <w:ind w:left="2124" w:hanging="2124"/>
        <w:rPr>
          <w:rFonts w:asciiTheme="majorHAnsi" w:hAnsiTheme="majorHAnsi"/>
          <w:vertAlign w:val="superscript"/>
        </w:rPr>
      </w:pPr>
      <w:r w:rsidRPr="00020B18">
        <w:rPr>
          <w:rFonts w:asciiTheme="majorHAnsi" w:hAnsiTheme="majorHAnsi"/>
        </w:rPr>
        <w:tab/>
      </w:r>
      <w:r w:rsidRPr="00020B18">
        <w:rPr>
          <w:rFonts w:asciiTheme="majorHAnsi" w:hAnsiTheme="majorHAnsi"/>
        </w:rPr>
        <w:tab/>
      </w:r>
      <w:r w:rsidRPr="00020B18">
        <w:rPr>
          <w:rFonts w:asciiTheme="majorHAnsi" w:hAnsiTheme="majorHAnsi"/>
        </w:rPr>
        <w:tab/>
      </w:r>
      <w:r w:rsidRPr="009E5DBF">
        <w:rPr>
          <w:rFonts w:asciiTheme="majorHAnsi" w:hAnsiTheme="majorHAnsi"/>
        </w:rPr>
        <w:t>Oxidation: COOH-COOH → 2 CO</w:t>
      </w:r>
      <w:r w:rsidRPr="009E5DBF">
        <w:rPr>
          <w:rFonts w:asciiTheme="majorHAnsi" w:hAnsiTheme="majorHAnsi"/>
          <w:vertAlign w:val="subscript"/>
        </w:rPr>
        <w:t>2</w:t>
      </w:r>
      <w:r w:rsidRPr="009E5DBF">
        <w:rPr>
          <w:rFonts w:asciiTheme="majorHAnsi" w:hAnsiTheme="majorHAnsi"/>
        </w:rPr>
        <w:t xml:space="preserve"> + 2 e</w:t>
      </w:r>
      <w:r w:rsidRPr="009E5DBF">
        <w:rPr>
          <w:rFonts w:asciiTheme="majorHAnsi" w:hAnsiTheme="majorHAnsi"/>
          <w:vertAlign w:val="superscript"/>
        </w:rPr>
        <w:t>-</w:t>
      </w:r>
      <w:r w:rsidRPr="009E5DBF">
        <w:rPr>
          <w:rFonts w:asciiTheme="majorHAnsi" w:hAnsiTheme="majorHAnsi"/>
        </w:rPr>
        <w:t xml:space="preserve"> + 2 H</w:t>
      </w:r>
      <w:r w:rsidRPr="009E5DBF">
        <w:rPr>
          <w:rFonts w:asciiTheme="majorHAnsi" w:hAnsiTheme="majorHAnsi"/>
          <w:vertAlign w:val="superscript"/>
        </w:rPr>
        <w:t>+</w:t>
      </w:r>
    </w:p>
    <w:p w:rsidR="00AD78B4" w:rsidRPr="00020B18" w:rsidRDefault="00AD78B4" w:rsidP="00AD78B4">
      <w:pPr>
        <w:tabs>
          <w:tab w:val="left" w:pos="1701"/>
          <w:tab w:val="left" w:pos="1985"/>
        </w:tabs>
        <w:ind w:left="2124" w:hanging="2124"/>
        <w:rPr>
          <w:rFonts w:asciiTheme="majorHAnsi" w:hAnsiTheme="majorHAnsi"/>
        </w:rPr>
      </w:pPr>
      <w:r w:rsidRPr="009E5DBF">
        <w:rPr>
          <w:rFonts w:asciiTheme="majorHAnsi" w:hAnsiTheme="majorHAnsi"/>
        </w:rPr>
        <w:tab/>
      </w:r>
      <w:r w:rsidRPr="009E5DBF">
        <w:rPr>
          <w:rFonts w:asciiTheme="majorHAnsi" w:hAnsiTheme="majorHAnsi"/>
        </w:rPr>
        <w:tab/>
      </w:r>
      <w:r w:rsidRPr="009E5DBF">
        <w:rPr>
          <w:rFonts w:asciiTheme="majorHAnsi" w:hAnsiTheme="majorHAnsi"/>
        </w:rPr>
        <w:tab/>
      </w:r>
      <w:r w:rsidRPr="00020B18">
        <w:rPr>
          <w:rFonts w:asciiTheme="majorHAnsi" w:hAnsiTheme="majorHAnsi"/>
        </w:rPr>
        <w:t xml:space="preserve">Reduktion: </w:t>
      </w:r>
      <w:r>
        <w:rPr>
          <w:rFonts w:asciiTheme="majorHAnsi" w:hAnsiTheme="majorHAnsi"/>
        </w:rPr>
        <w:t xml:space="preserve">2 </w:t>
      </w:r>
      <w:r w:rsidRPr="00020B18">
        <w:rPr>
          <w:rFonts w:asciiTheme="majorHAnsi" w:hAnsiTheme="majorHAnsi"/>
        </w:rPr>
        <w:t>MnO</w:t>
      </w:r>
      <w:r w:rsidRPr="00020B18">
        <w:rPr>
          <w:rFonts w:asciiTheme="majorHAnsi" w:hAnsiTheme="majorHAnsi"/>
          <w:vertAlign w:val="subscript"/>
        </w:rPr>
        <w:t>4</w:t>
      </w:r>
      <w:r w:rsidRPr="00020B18">
        <w:rPr>
          <w:rFonts w:asciiTheme="majorHAnsi" w:hAnsiTheme="majorHAnsi"/>
          <w:vertAlign w:val="superscript"/>
        </w:rPr>
        <w:t>-</w:t>
      </w:r>
      <w:r w:rsidRPr="00020B18">
        <w:rPr>
          <w:rFonts w:asciiTheme="majorHAnsi" w:hAnsiTheme="majorHAnsi"/>
        </w:rPr>
        <w:t xml:space="preserve"> + </w:t>
      </w:r>
      <w:r>
        <w:rPr>
          <w:rFonts w:asciiTheme="majorHAnsi" w:hAnsiTheme="majorHAnsi"/>
        </w:rPr>
        <w:t>16</w:t>
      </w:r>
      <w:r w:rsidRPr="00020B18">
        <w:rPr>
          <w:rFonts w:asciiTheme="majorHAnsi" w:hAnsiTheme="majorHAnsi"/>
        </w:rPr>
        <w:t xml:space="preserve"> H</w:t>
      </w:r>
      <w:r w:rsidRPr="00020B18">
        <w:rPr>
          <w:rFonts w:asciiTheme="majorHAnsi" w:hAnsiTheme="majorHAnsi"/>
          <w:vertAlign w:val="superscript"/>
        </w:rPr>
        <w:t>+</w:t>
      </w:r>
      <w:r w:rsidRPr="00020B18">
        <w:rPr>
          <w:rFonts w:asciiTheme="majorHAnsi" w:hAnsiTheme="majorHAnsi"/>
        </w:rPr>
        <w:t xml:space="preserve"> + </w:t>
      </w:r>
      <w:r>
        <w:rPr>
          <w:rFonts w:asciiTheme="majorHAnsi" w:hAnsiTheme="majorHAnsi"/>
        </w:rPr>
        <w:t>10</w:t>
      </w:r>
      <w:r w:rsidRPr="00020B18">
        <w:rPr>
          <w:rFonts w:asciiTheme="majorHAnsi" w:hAnsiTheme="majorHAnsi"/>
        </w:rPr>
        <w:t xml:space="preserve"> e</w:t>
      </w:r>
      <w:r w:rsidRPr="00020B18">
        <w:rPr>
          <w:rFonts w:asciiTheme="majorHAnsi" w:hAnsiTheme="majorHAnsi"/>
          <w:vertAlign w:val="superscript"/>
        </w:rPr>
        <w:t>-</w:t>
      </w:r>
      <w:r w:rsidRPr="00020B18">
        <w:rPr>
          <w:rFonts w:asciiTheme="majorHAnsi" w:hAnsiTheme="majorHAnsi"/>
        </w:rPr>
        <w:t xml:space="preserve"> →</w:t>
      </w:r>
      <w:r>
        <w:rPr>
          <w:rFonts w:asciiTheme="majorHAnsi" w:hAnsiTheme="majorHAnsi"/>
        </w:rPr>
        <w:t>2</w:t>
      </w:r>
      <w:r w:rsidRPr="00020B18">
        <w:rPr>
          <w:rFonts w:asciiTheme="majorHAnsi" w:hAnsiTheme="majorHAnsi"/>
        </w:rPr>
        <w:t xml:space="preserve"> Mn</w:t>
      </w:r>
      <w:r w:rsidRPr="00020B18">
        <w:rPr>
          <w:rFonts w:asciiTheme="majorHAnsi" w:hAnsiTheme="majorHAnsi"/>
          <w:vertAlign w:val="superscript"/>
        </w:rPr>
        <w:t>2+</w:t>
      </w:r>
      <w:r w:rsidRPr="00020B18">
        <w:rPr>
          <w:rFonts w:asciiTheme="majorHAnsi" w:hAnsiTheme="majorHAnsi"/>
        </w:rPr>
        <w:t xml:space="preserve"> + </w:t>
      </w:r>
      <w:r>
        <w:rPr>
          <w:rFonts w:asciiTheme="majorHAnsi" w:hAnsiTheme="majorHAnsi"/>
        </w:rPr>
        <w:t>8</w:t>
      </w:r>
      <w:r w:rsidRPr="00020B18">
        <w:rPr>
          <w:rFonts w:asciiTheme="majorHAnsi" w:hAnsiTheme="majorHAnsi"/>
        </w:rPr>
        <w:t xml:space="preserve"> H</w:t>
      </w:r>
      <w:r w:rsidRPr="00020B18">
        <w:rPr>
          <w:rFonts w:asciiTheme="majorHAnsi" w:hAnsiTheme="majorHAnsi"/>
          <w:vertAlign w:val="subscript"/>
        </w:rPr>
        <w:t>2</w:t>
      </w:r>
      <w:r w:rsidRPr="00020B18">
        <w:rPr>
          <w:rFonts w:asciiTheme="majorHAnsi" w:hAnsiTheme="majorHAnsi"/>
        </w:rPr>
        <w:t>O</w:t>
      </w:r>
    </w:p>
    <w:p w:rsidR="00AD78B4" w:rsidRPr="00020B18" w:rsidRDefault="00AD78B4" w:rsidP="00AD78B4">
      <w:pPr>
        <w:tabs>
          <w:tab w:val="left" w:pos="1701"/>
          <w:tab w:val="left" w:pos="1985"/>
        </w:tabs>
        <w:ind w:left="2124" w:hanging="2124"/>
        <w:rPr>
          <w:rFonts w:asciiTheme="majorHAnsi" w:hAnsiTheme="majorHAnsi"/>
        </w:rPr>
      </w:pPr>
      <w:r w:rsidRPr="00020B18">
        <w:rPr>
          <w:rFonts w:asciiTheme="majorHAnsi" w:hAnsiTheme="majorHAnsi"/>
        </w:rPr>
        <w:tab/>
      </w:r>
      <w:r w:rsidRPr="00020B18">
        <w:rPr>
          <w:rFonts w:asciiTheme="majorHAnsi" w:hAnsiTheme="majorHAnsi"/>
        </w:rPr>
        <w:tab/>
      </w:r>
      <w:r w:rsidRPr="00020B18">
        <w:rPr>
          <w:rFonts w:asciiTheme="majorHAnsi" w:hAnsiTheme="majorHAnsi"/>
        </w:rPr>
        <w:tab/>
      </w:r>
      <w:r w:rsidRPr="00020B18">
        <w:rPr>
          <w:rFonts w:asciiTheme="majorHAnsi" w:hAnsiTheme="majorHAnsi"/>
          <w:u w:val="single"/>
        </w:rPr>
        <w:t xml:space="preserve">Gesamt </w:t>
      </w:r>
      <w:r>
        <w:rPr>
          <w:rFonts w:asciiTheme="majorHAnsi" w:hAnsiTheme="majorHAnsi"/>
          <w:u w:val="single"/>
        </w:rPr>
        <w:t>Redoxgleichung</w:t>
      </w:r>
      <w:r w:rsidRPr="00020B18">
        <w:rPr>
          <w:rFonts w:asciiTheme="majorHAnsi" w:hAnsiTheme="majorHAnsi"/>
        </w:rPr>
        <w:t>5 COOH-COOH + 2 MnO</w:t>
      </w:r>
      <w:r w:rsidRPr="00020B18">
        <w:rPr>
          <w:rFonts w:asciiTheme="majorHAnsi" w:hAnsiTheme="majorHAnsi"/>
          <w:vertAlign w:val="subscript"/>
        </w:rPr>
        <w:t>4</w:t>
      </w:r>
      <w:r w:rsidRPr="00020B18">
        <w:rPr>
          <w:rFonts w:asciiTheme="majorHAnsi" w:hAnsiTheme="majorHAnsi"/>
          <w:vertAlign w:val="superscript"/>
        </w:rPr>
        <w:t>-</w:t>
      </w:r>
      <w:r w:rsidRPr="00020B18">
        <w:rPr>
          <w:rFonts w:asciiTheme="majorHAnsi" w:hAnsiTheme="majorHAnsi"/>
          <w:vertAlign w:val="subscript"/>
        </w:rPr>
        <w:t>(</w:t>
      </w:r>
      <w:proofErr w:type="spellStart"/>
      <w:r w:rsidRPr="00020B18">
        <w:rPr>
          <w:rFonts w:asciiTheme="majorHAnsi" w:hAnsiTheme="majorHAnsi"/>
          <w:vertAlign w:val="subscript"/>
        </w:rPr>
        <w:t>aq</w:t>
      </w:r>
      <w:proofErr w:type="spellEnd"/>
      <w:r w:rsidRPr="00020B18">
        <w:rPr>
          <w:rFonts w:asciiTheme="majorHAnsi" w:hAnsiTheme="majorHAnsi"/>
          <w:vertAlign w:val="subscript"/>
        </w:rPr>
        <w:t>)</w:t>
      </w:r>
      <w:r w:rsidRPr="00020B18">
        <w:rPr>
          <w:rFonts w:asciiTheme="majorHAnsi" w:hAnsiTheme="majorHAnsi"/>
        </w:rPr>
        <w:t xml:space="preserve"> +6 H</w:t>
      </w:r>
      <w:r w:rsidRPr="00020B18">
        <w:rPr>
          <w:rFonts w:asciiTheme="majorHAnsi" w:hAnsiTheme="majorHAnsi"/>
          <w:vertAlign w:val="superscript"/>
        </w:rPr>
        <w:t>+</w:t>
      </w:r>
      <w:r w:rsidRPr="00020B18">
        <w:rPr>
          <w:rFonts w:asciiTheme="majorHAnsi" w:hAnsiTheme="majorHAnsi"/>
          <w:vertAlign w:val="subscript"/>
        </w:rPr>
        <w:t>(</w:t>
      </w:r>
      <w:proofErr w:type="spellStart"/>
      <w:r w:rsidRPr="00020B18">
        <w:rPr>
          <w:rFonts w:asciiTheme="majorHAnsi" w:hAnsiTheme="majorHAnsi"/>
          <w:vertAlign w:val="subscript"/>
        </w:rPr>
        <w:t>aq</w:t>
      </w:r>
      <w:proofErr w:type="spellEnd"/>
      <w:r w:rsidRPr="00020B18">
        <w:rPr>
          <w:rFonts w:asciiTheme="majorHAnsi" w:hAnsiTheme="majorHAnsi"/>
          <w:vertAlign w:val="subscript"/>
        </w:rPr>
        <w:t>)</w:t>
      </w:r>
      <w:r w:rsidRPr="00020B18">
        <w:rPr>
          <w:rFonts w:asciiTheme="majorHAnsi" w:hAnsiTheme="majorHAnsi"/>
        </w:rPr>
        <w:t xml:space="preserve"> ⇌ 10 CO</w:t>
      </w:r>
      <w:r w:rsidRPr="00020B18">
        <w:rPr>
          <w:rFonts w:asciiTheme="majorHAnsi" w:hAnsiTheme="majorHAnsi"/>
          <w:vertAlign w:val="subscript"/>
        </w:rPr>
        <w:t>2(g)</w:t>
      </w:r>
      <w:r w:rsidRPr="00020B18">
        <w:rPr>
          <w:rFonts w:asciiTheme="majorHAnsi" w:hAnsiTheme="majorHAnsi"/>
        </w:rPr>
        <w:t xml:space="preserve"> + 2 Mn</w:t>
      </w:r>
      <w:r w:rsidRPr="00020B18">
        <w:rPr>
          <w:rFonts w:asciiTheme="majorHAnsi" w:hAnsiTheme="majorHAnsi"/>
          <w:vertAlign w:val="superscript"/>
        </w:rPr>
        <w:t>2+</w:t>
      </w:r>
      <w:r w:rsidRPr="00020B18">
        <w:rPr>
          <w:rFonts w:asciiTheme="majorHAnsi" w:hAnsiTheme="majorHAnsi"/>
          <w:vertAlign w:val="subscript"/>
        </w:rPr>
        <w:t>(</w:t>
      </w:r>
      <w:proofErr w:type="spellStart"/>
      <w:r w:rsidRPr="00020B18">
        <w:rPr>
          <w:rFonts w:asciiTheme="majorHAnsi" w:hAnsiTheme="majorHAnsi"/>
          <w:vertAlign w:val="subscript"/>
        </w:rPr>
        <w:t>aq</w:t>
      </w:r>
      <w:proofErr w:type="spellEnd"/>
      <w:r w:rsidRPr="00020B18">
        <w:rPr>
          <w:rFonts w:asciiTheme="majorHAnsi" w:hAnsiTheme="majorHAnsi"/>
          <w:vertAlign w:val="subscript"/>
        </w:rPr>
        <w:t xml:space="preserve">) </w:t>
      </w:r>
      <w:r w:rsidRPr="00020B18">
        <w:rPr>
          <w:rFonts w:asciiTheme="majorHAnsi" w:hAnsiTheme="majorHAnsi"/>
        </w:rPr>
        <w:t>+ 8 H</w:t>
      </w:r>
      <w:r w:rsidRPr="00020B18">
        <w:rPr>
          <w:rFonts w:asciiTheme="majorHAnsi" w:hAnsiTheme="majorHAnsi"/>
          <w:vertAlign w:val="subscript"/>
        </w:rPr>
        <w:t>2</w:t>
      </w:r>
      <w:r w:rsidRPr="00020B18">
        <w:rPr>
          <w:rFonts w:asciiTheme="majorHAnsi" w:hAnsiTheme="majorHAnsi"/>
        </w:rPr>
        <w:t>O</w:t>
      </w:r>
      <w:r w:rsidRPr="00020B18">
        <w:rPr>
          <w:rFonts w:asciiTheme="majorHAnsi" w:hAnsiTheme="majorHAnsi"/>
          <w:vertAlign w:val="subscript"/>
        </w:rPr>
        <w:t>(l)</w:t>
      </w:r>
    </w:p>
    <w:p w:rsidR="00AD78B4" w:rsidRDefault="00AD78B4" w:rsidP="00AD78B4">
      <w:pPr>
        <w:spacing w:line="276" w:lineRule="auto"/>
        <w:jc w:val="left"/>
      </w:pPr>
      <w:r>
        <w:t>Entsorgung:</w:t>
      </w:r>
      <w:r>
        <w:tab/>
        <w:t xml:space="preserve">           </w:t>
      </w:r>
      <w:r>
        <w:tab/>
        <w:t>Die Reste der werden in den Schwermetallbehälter gegeben.</w:t>
      </w:r>
    </w:p>
    <w:p w:rsidR="00AD78B4" w:rsidRPr="00411DF2" w:rsidRDefault="00AD78B4" w:rsidP="00AD78B4">
      <w:pPr>
        <w:spacing w:line="276" w:lineRule="auto"/>
        <w:jc w:val="left"/>
        <w:rPr>
          <w:rFonts w:asciiTheme="majorHAnsi" w:eastAsiaTheme="majorEastAsia" w:hAnsiTheme="majorHAnsi" w:cstheme="majorBidi"/>
          <w:b/>
          <w:bCs/>
          <w:color w:val="FF0000"/>
          <w:sz w:val="28"/>
          <w:szCs w:val="28"/>
        </w:rPr>
      </w:pPr>
      <w:r>
        <w:t>Literatur:</w:t>
      </w:r>
      <w:r>
        <w:tab/>
      </w:r>
      <w:r>
        <w:tab/>
      </w:r>
      <w:r w:rsidRPr="00270442">
        <w:rPr>
          <w:color w:val="auto"/>
        </w:rPr>
        <w:t xml:space="preserve">D. </w:t>
      </w:r>
      <w:proofErr w:type="spellStart"/>
      <w:r w:rsidRPr="00270442">
        <w:rPr>
          <w:color w:val="auto"/>
        </w:rPr>
        <w:t>Wiechoczek</w:t>
      </w:r>
      <w:proofErr w:type="spellEnd"/>
      <w:r w:rsidRPr="00270442">
        <w:rPr>
          <w:color w:val="auto"/>
        </w:rPr>
        <w:t>, http://www.chemieunterricht.de/dc2/katalyse/vkat-</w:t>
      </w:r>
      <w:r w:rsidRPr="00270442">
        <w:rPr>
          <w:color w:val="auto"/>
        </w:rPr>
        <w:tab/>
      </w:r>
      <w:r w:rsidRPr="00270442">
        <w:rPr>
          <w:color w:val="auto"/>
        </w:rPr>
        <w:tab/>
      </w:r>
      <w:r w:rsidRPr="00270442">
        <w:rPr>
          <w:color w:val="auto"/>
        </w:rPr>
        <w:tab/>
        <w:t xml:space="preserve">005.htm 27.07.16 (Zuletzt abgerufen am 27.07.16 um </w:t>
      </w:r>
      <w:r>
        <w:rPr>
          <w:color w:val="auto"/>
        </w:rPr>
        <w:t>20:45</w:t>
      </w:r>
      <w:r w:rsidRPr="00270442">
        <w:rPr>
          <w:color w:val="auto"/>
        </w:rPr>
        <w:t xml:space="preserve"> Uhr).</w:t>
      </w:r>
    </w:p>
    <w:p w:rsidR="00AD78B4" w:rsidRPr="00C1389B" w:rsidRDefault="00AD78B4" w:rsidP="00AD78B4">
      <w:pPr>
        <w:tabs>
          <w:tab w:val="left" w:pos="1701"/>
          <w:tab w:val="left" w:pos="1985"/>
        </w:tabs>
        <w:ind w:left="1980" w:hanging="1980"/>
        <w:rPr>
          <w:b/>
        </w:rPr>
      </w:pPr>
      <w:r>
        <w:rPr>
          <w:b/>
          <w:noProof/>
          <w:lang w:eastAsia="de-DE"/>
        </w:rPr>
      </w:r>
      <w:r>
        <w:rPr>
          <w:b/>
          <w:noProof/>
          <w:lang w:eastAsia="de-DE"/>
        </w:rPr>
        <w:pict>
          <v:shape id="Text Box 147" o:spid="_x0000_s1026" type="#_x0000_t202" style="width:467.1pt;height:314.3pt;visibility:visible;mso-position-horizontal-relative:char;mso-position-vertical-relative:line" fillcolor="white [3201]" strokecolor="#c0504d [3205]" strokeweight="1pt">
            <v:stroke dashstyle="dash"/>
            <v:shadow color="#868686"/>
            <v:textbox>
              <w:txbxContent>
                <w:p w:rsidR="00AD78B4" w:rsidRPr="001D271E" w:rsidRDefault="00AD78B4" w:rsidP="00AD78B4">
                  <w:pPr>
                    <w:rPr>
                      <w:color w:val="auto"/>
                    </w:rPr>
                  </w:pPr>
                  <w:r w:rsidRPr="00F31EBF">
                    <w:rPr>
                      <w:b/>
                      <w:color w:val="auto"/>
                    </w:rPr>
                    <w:t xml:space="preserve">Unterrichtsanschlüsse </w:t>
                  </w:r>
                  <w:r>
                    <w:rPr>
                      <w:color w:val="auto"/>
                    </w:rPr>
                    <w:t>Dieser Versuch demonstriert, dass bei Reaktionen auch Katalysatoren während der Reaktion gebildet werden. Diese besondere Form wird auch als Autokatalyse bezeichnet. Das Arbeiten unter einem Abzug ist zwingend notwendig, da Mangansulfat bei läng</w:t>
                  </w:r>
                  <w:r>
                    <w:rPr>
                      <w:color w:val="auto"/>
                    </w:rPr>
                    <w:t>e</w:t>
                  </w:r>
                  <w:r>
                    <w:rPr>
                      <w:color w:val="auto"/>
                    </w:rPr>
                    <w:t xml:space="preserve">rer und wiederholter Exposition Gesundheitsschäden verursacht. Dazu wird ein Fachraum mit mehreren Abzügen benötigt. Die Schülerinnen und Schüler führen den Versuch als eine Gruppe von ca. fünf Personen durch, wobei immer zwei </w:t>
                  </w:r>
                  <w:proofErr w:type="spellStart"/>
                  <w:r>
                    <w:rPr>
                      <w:color w:val="auto"/>
                    </w:rPr>
                    <w:t>SchülerInnen</w:t>
                  </w:r>
                  <w:proofErr w:type="spellEnd"/>
                  <w:r>
                    <w:rPr>
                      <w:color w:val="auto"/>
                    </w:rPr>
                    <w:t>- Gruppen parallel in einem Abzug arbeiten können. Daher werden drei Abzüge im Fachraum benötigt. Eine Alternative wäre, dass die Lösungen von der Lehrperson angesetzt werden und Reagenzglasständer vorbereitet we</w:t>
                  </w:r>
                  <w:r>
                    <w:rPr>
                      <w:color w:val="auto"/>
                    </w:rPr>
                    <w:t>r</w:t>
                  </w:r>
                  <w:r>
                    <w:rPr>
                      <w:color w:val="auto"/>
                    </w:rPr>
                    <w:t xml:space="preserve">den, sodass die Schülerinnen und Schüler nur noch das Mangansulfat zugeben müssen und ihre Beobachtung notieren und anschließend alle </w:t>
                  </w:r>
                  <w:proofErr w:type="spellStart"/>
                  <w:r>
                    <w:rPr>
                      <w:color w:val="auto"/>
                    </w:rPr>
                    <w:t>Reagnezglasständer</w:t>
                  </w:r>
                  <w:proofErr w:type="spellEnd"/>
                  <w:r>
                    <w:rPr>
                      <w:color w:val="auto"/>
                    </w:rPr>
                    <w:t xml:space="preserve"> unter dem Abzug aufgebwahrt werden, damit die Exposition nicht schädlich ist. Die vorsichtige Handhabung von Schwefelsä</w:t>
                  </w:r>
                  <w:r>
                    <w:rPr>
                      <w:color w:val="auto"/>
                    </w:rPr>
                    <w:t>u</w:t>
                  </w:r>
                  <w:r>
                    <w:rPr>
                      <w:color w:val="auto"/>
                    </w:rPr>
                    <w:t xml:space="preserve">re und Oxalsäure ist ebenfalls zu erwähnen. In diesem Versuch soll nicht auf den erweiterten </w:t>
                  </w:r>
                  <w:proofErr w:type="spellStart"/>
                  <w:r>
                    <w:rPr>
                      <w:color w:val="auto"/>
                    </w:rPr>
                    <w:t>Redoxbegriff</w:t>
                  </w:r>
                  <w:proofErr w:type="spellEnd"/>
                  <w:r>
                    <w:rPr>
                      <w:color w:val="auto"/>
                    </w:rPr>
                    <w:t xml:space="preserve"> eingegangen werden, da dies erst in den höheren Klassenstufen thematisiert wird. Daher ist hier eine didaktische Reduktion anzubringen, dass eine Verbindung, die in diesem Fall das Endprodukt der Reaktion ist, den Verlauf der Reaktion beschleunigt.</w:t>
                  </w:r>
                </w:p>
                <w:p w:rsidR="00AD78B4" w:rsidRPr="00F31EBF" w:rsidRDefault="00AD78B4" w:rsidP="00AD78B4">
                  <w:pPr>
                    <w:rPr>
                      <w:color w:val="auto"/>
                    </w:rPr>
                  </w:pPr>
                </w:p>
              </w:txbxContent>
            </v:textbox>
            <w10:wrap type="none"/>
            <w10:anchorlock/>
          </v:shape>
        </w:pict>
      </w:r>
    </w:p>
    <w:p w:rsidR="00DF0669" w:rsidRDefault="00DF0669"/>
    <w:sectPr w:rsidR="00DF0669" w:rsidSect="00DF066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AD78B4"/>
    <w:rsid w:val="000E4B2F"/>
    <w:rsid w:val="004C1681"/>
    <w:rsid w:val="00AD78B4"/>
    <w:rsid w:val="00DF066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78B4"/>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AD78B4"/>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AD78B4"/>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AD78B4"/>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AD78B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AD78B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AD78B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AD78B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D78B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D78B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D78B4"/>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AD78B4"/>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AD78B4"/>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AD78B4"/>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AD78B4"/>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AD78B4"/>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AD78B4"/>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AD78B4"/>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D78B4"/>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AD78B4"/>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AD78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78B4"/>
    <w:rPr>
      <w:rFonts w:ascii="Tahoma" w:hAnsi="Tahoma" w:cs="Tahoma"/>
      <w:color w:val="1D1B11" w:themeColor="background2" w:themeShade="1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533</Words>
  <Characters>3365</Characters>
  <Application>Microsoft Office Word</Application>
  <DocSecurity>0</DocSecurity>
  <Lines>28</Lines>
  <Paragraphs>7</Paragraphs>
  <ScaleCrop>false</ScaleCrop>
  <Company>HAASE</Company>
  <LinksUpToDate>false</LinksUpToDate>
  <CharactersWithSpaces>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Kristina</cp:lastModifiedBy>
  <cp:revision>1</cp:revision>
  <dcterms:created xsi:type="dcterms:W3CDTF">2016-08-10T09:48:00Z</dcterms:created>
  <dcterms:modified xsi:type="dcterms:W3CDTF">2016-08-10T09:48:00Z</dcterms:modified>
</cp:coreProperties>
</file>