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9" w:rsidRPr="00521379" w:rsidRDefault="00521379" w:rsidP="00521379">
      <w:pPr>
        <w:pStyle w:val="berschrift1"/>
        <w:numPr>
          <w:ilvl w:val="0"/>
          <w:numId w:val="0"/>
        </w:numPr>
        <w:ind w:left="432" w:hanging="432"/>
      </w:pPr>
      <w:bookmarkStart w:id="0" w:name="_Toc457908931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B97DC" wp14:editId="0ECD880D">
                <wp:simplePos x="0" y="0"/>
                <wp:positionH relativeFrom="column">
                  <wp:posOffset>-29210</wp:posOffset>
                </wp:positionH>
                <wp:positionV relativeFrom="paragraph">
                  <wp:posOffset>608965</wp:posOffset>
                </wp:positionV>
                <wp:extent cx="5873115" cy="1045210"/>
                <wp:effectExtent l="13335" t="13335" r="9525" b="825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45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379" w:rsidRDefault="00521379" w:rsidP="00521379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Dieser Versuch zeigt, dass auch durch das erschütterungsinduzierte, aber temperaturabhängige Erstarren einer Schmelze die Temperatur der Umgebung beeinflusst wird.</w:t>
                            </w:r>
                          </w:p>
                          <w:p w:rsidR="00521379" w:rsidRDefault="00521379" w:rsidP="0052137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kennen die Funktion eines Impfkristalls. Außerdem erkennen sie anhand der Temperaturzunahme, dass eine exotherme Reaktion abläuft.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7D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2.3pt;margin-top:47.95pt;width:462.4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7i7AIAACo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521379" w:rsidRDefault="00521379" w:rsidP="00521379">
                      <w:pPr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Dieser Versuch zeigt, dass auch durch das erschütterungsinduzierte, aber temperaturabhängige Erstarren einer Schmelze die Temperatur der Umgebung beeinflusst wird.</w:t>
                      </w:r>
                    </w:p>
                    <w:p w:rsidR="00521379" w:rsidRDefault="00521379" w:rsidP="0052137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kennen die Funktion eines Impfkristalls. Außerdem erkennen sie anhand der Temperaturzunahme, dass eine exotherme Reaktion abläuft.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t>Kristallisation einer Schmelze</w:t>
      </w:r>
    </w:p>
    <w:p w:rsidR="00521379" w:rsidRDefault="00521379" w:rsidP="00521379">
      <w:pPr>
        <w:pStyle w:val="berschrift2"/>
        <w:numPr>
          <w:ilvl w:val="0"/>
          <w:numId w:val="0"/>
        </w:numPr>
      </w:pPr>
      <w:bookmarkStart w:id="1" w:name="_GoBack"/>
      <w:bookmarkEnd w:id="1"/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521379" w:rsidTr="00017F5A">
        <w:tc>
          <w:tcPr>
            <w:tcW w:w="9315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521379" w:rsidRDefault="00521379" w:rsidP="00017F5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21379" w:rsidTr="00017F5A">
        <w:trPr>
          <w:trHeight w:val="434"/>
        </w:trPr>
        <w:tc>
          <w:tcPr>
            <w:tcW w:w="3026" w:type="dxa"/>
            <w:gridSpan w:val="3"/>
            <w:tcBorders>
              <w:top w:val="nil"/>
              <w:left w:val="single" w:sz="8" w:space="0" w:color="4F81BD"/>
              <w:bottom w:val="single" w:sz="4" w:space="0" w:color="5B9BD5" w:themeColor="accent1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Natriumthiosulfat</w:t>
            </w:r>
            <w:proofErr w:type="spellEnd"/>
            <w:r>
              <w:rPr>
                <w:sz w:val="20"/>
              </w:rPr>
              <w:t>-Pentahydrat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521379" w:rsidRDefault="00521379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single" w:sz="8" w:space="0" w:color="4F81BD"/>
            </w:tcBorders>
            <w:vAlign w:val="center"/>
          </w:tcPr>
          <w:p w:rsidR="00521379" w:rsidRDefault="00521379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1379" w:rsidTr="00017F5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FB27EC" wp14:editId="1B374A86">
                  <wp:extent cx="503555" cy="50355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32BC97" wp14:editId="3C79C964">
                  <wp:extent cx="503555" cy="503555"/>
                  <wp:effectExtent l="0" t="0" r="0" b="0"/>
                  <wp:docPr id="38" name="Grafik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2FE7AF" wp14:editId="73D7DCB1">
                  <wp:extent cx="504825" cy="504825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3A7460" wp14:editId="4C8F6D4D">
                  <wp:extent cx="504825" cy="504825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61086D" wp14:editId="668D1530">
                  <wp:extent cx="504825" cy="504825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72B93D" wp14:editId="45393B17">
                  <wp:extent cx="504825" cy="504825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9CCAB4" wp14:editId="7D194410">
                  <wp:extent cx="504825" cy="50482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551080" wp14:editId="5366CD8C">
                  <wp:extent cx="502920" cy="50292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21379" w:rsidRDefault="00521379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E865E7" wp14:editId="539A13ED">
                  <wp:extent cx="504825" cy="504825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379" w:rsidRDefault="00521379" w:rsidP="00521379">
      <w:pPr>
        <w:tabs>
          <w:tab w:val="left" w:pos="1701"/>
          <w:tab w:val="left" w:pos="1985"/>
        </w:tabs>
        <w:ind w:left="1980" w:hanging="1980"/>
      </w:pPr>
    </w:p>
    <w:p w:rsidR="00521379" w:rsidRDefault="00521379" w:rsidP="0052137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Duranreagenzglas</w:t>
      </w:r>
      <w:proofErr w:type="spellEnd"/>
      <w:r>
        <w:t>, Stativ und Klemmen, Thermometer, Brenner, Glasstab, Feuerzeug</w:t>
      </w:r>
    </w:p>
    <w:p w:rsidR="00521379" w:rsidRDefault="00521379" w:rsidP="0052137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Pr="00301E63">
        <w:rPr>
          <w:szCs w:val="24"/>
        </w:rPr>
        <w:t>Natriumthiosulfat</w:t>
      </w:r>
      <w:proofErr w:type="spellEnd"/>
      <w:r>
        <w:rPr>
          <w:szCs w:val="24"/>
        </w:rPr>
        <w:t>-</w:t>
      </w:r>
      <w:r w:rsidRPr="00301E63">
        <w:rPr>
          <w:szCs w:val="24"/>
        </w:rPr>
        <w:t>Pentahydrat</w:t>
      </w:r>
    </w:p>
    <w:p w:rsidR="00521379" w:rsidRPr="00883BC7" w:rsidRDefault="00521379" w:rsidP="00521379">
      <w:pPr>
        <w:jc w:val="right"/>
      </w:pPr>
    </w:p>
    <w:p w:rsidR="00521379" w:rsidRPr="00005C61" w:rsidRDefault="00521379" w:rsidP="00521379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</w:r>
      <w:r w:rsidRPr="003F384C">
        <w:t xml:space="preserve">Das kristalline </w:t>
      </w:r>
      <w:proofErr w:type="spellStart"/>
      <w:r w:rsidRPr="003F384C">
        <w:t>Natriumthiosulfat</w:t>
      </w:r>
      <w:proofErr w:type="spellEnd"/>
      <w:r>
        <w:t>-</w:t>
      </w:r>
      <w:r w:rsidRPr="003F384C">
        <w:t>Pentahydrat wird etwa 3</w:t>
      </w:r>
      <w:r>
        <w:t xml:space="preserve"> </w:t>
      </w:r>
      <w:r w:rsidRPr="003F384C">
        <w:t xml:space="preserve">cm hoch in das </w:t>
      </w:r>
      <w:proofErr w:type="spellStart"/>
      <w:r w:rsidRPr="003F384C">
        <w:t>Duran</w:t>
      </w:r>
      <w:r>
        <w:t>reagenz</w:t>
      </w:r>
      <w:r w:rsidRPr="003F384C">
        <w:t>glas</w:t>
      </w:r>
      <w:proofErr w:type="spellEnd"/>
      <w:r w:rsidRPr="003F384C">
        <w:t xml:space="preserve"> eingefüllt und vorsichtig geschmolzen. Das Thermometer wird in das erwärmte </w:t>
      </w:r>
      <w:proofErr w:type="spellStart"/>
      <w:r w:rsidRPr="003F384C">
        <w:t>Natriumthiosulfat</w:t>
      </w:r>
      <w:proofErr w:type="spellEnd"/>
      <w:r>
        <w:t>-</w:t>
      </w:r>
      <w:r w:rsidRPr="003F384C">
        <w:t>Pentahydrat gestellt. Wenn dieses auf etwa Zimmertemperatur abgekühlt ist, kann ein Impfkristall hinein gegeben werden. Der Temperatur-Zeit-Verlauf wird gemessen und grafisch dargestellt.</w:t>
      </w:r>
    </w:p>
    <w:p w:rsidR="00521379" w:rsidRDefault="00521379" w:rsidP="00521379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2741930</wp:posOffset>
                </wp:positionV>
                <wp:extent cx="4439285" cy="372745"/>
                <wp:effectExtent l="635" t="0" r="0" b="635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79" w:rsidRPr="00C87F86" w:rsidRDefault="00521379" w:rsidP="00521379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5: Temperatur-Zeit-Kurve der Kristallisationsreaktion von </w:t>
                            </w:r>
                            <w:proofErr w:type="spellStart"/>
                            <w:r>
                              <w:t>Natriumthiosulfat</w:t>
                            </w:r>
                            <w:proofErr w:type="spellEnd"/>
                            <w:r>
                              <w:t>-Pentahydrat.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9.95pt;margin-top:215.9pt;width:349.5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" stroked="f">
                <v:textbox inset="0,0,0,0">
                  <w:txbxContent>
                    <w:p w:rsidR="00521379" w:rsidRPr="00C87F86" w:rsidRDefault="00521379" w:rsidP="00521379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5: Temperatur-Zeit-Kurve der Kristallisationsreaktion von </w:t>
                      </w:r>
                      <w:proofErr w:type="spellStart"/>
                      <w:r>
                        <w:t>Natriumthiosulfat</w:t>
                      </w:r>
                      <w:proofErr w:type="spellEnd"/>
                      <w:r>
                        <w:t>-Pentahydrat.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8FB501A" wp14:editId="3C3CC997">
            <wp:simplePos x="0" y="0"/>
            <wp:positionH relativeFrom="column">
              <wp:posOffset>600710</wp:posOffset>
            </wp:positionH>
            <wp:positionV relativeFrom="paragraph">
              <wp:posOffset>250981</wp:posOffset>
            </wp:positionV>
            <wp:extent cx="4467860" cy="2466975"/>
            <wp:effectExtent l="0" t="0" r="8890" b="9525"/>
            <wp:wrapTopAndBottom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747395</wp:posOffset>
                </wp:positionV>
                <wp:extent cx="519430" cy="237490"/>
                <wp:effectExtent l="10795" t="13335" r="12700" b="63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379" w:rsidRPr="002D11FF" w:rsidRDefault="00521379" w:rsidP="00521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1FF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155.75pt;margin-top:58.85pt;width:40.9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" strokecolor="white [3212]">
                <v:fill opacity="0"/>
                <v:textbox>
                  <w:txbxContent>
                    <w:p w:rsidR="00521379" w:rsidRPr="002D11FF" w:rsidRDefault="00521379" w:rsidP="00521379">
                      <w:pPr>
                        <w:rPr>
                          <w:sz w:val="20"/>
                          <w:szCs w:val="20"/>
                        </w:rPr>
                      </w:pPr>
                      <w:r w:rsidRPr="002D11FF">
                        <w:rPr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Beobachtung:</w:t>
      </w:r>
      <w:r>
        <w:tab/>
      </w:r>
      <w:r>
        <w:tab/>
        <w:t>Während die Schmelze kristallisiert, steigt ihre Temperatur.</w:t>
      </w:r>
    </w:p>
    <w:p w:rsidR="00521379" w:rsidRPr="001D4425" w:rsidRDefault="00521379" w:rsidP="00521379">
      <w:pPr>
        <w:tabs>
          <w:tab w:val="left" w:pos="1701"/>
          <w:tab w:val="left" w:pos="1985"/>
        </w:tabs>
        <w:ind w:left="1980" w:hanging="1980"/>
        <w:rPr>
          <w:sz w:val="20"/>
        </w:rPr>
      </w:pPr>
      <w:r>
        <w:t xml:space="preserve">Deutung: </w:t>
      </w:r>
      <w:r>
        <w:tab/>
      </w:r>
      <w:r>
        <w:tab/>
      </w:r>
      <w:proofErr w:type="spellStart"/>
      <w:r>
        <w:t>Natriumthiosulfat</w:t>
      </w:r>
      <w:proofErr w:type="spellEnd"/>
      <w:r>
        <w:t xml:space="preserve">-Pentahydrat ist ein leicht lösliches Salz. Wird die </w:t>
      </w:r>
      <w:proofErr w:type="spellStart"/>
      <w:r>
        <w:t>Natriumthiosulfat</w:t>
      </w:r>
      <w:proofErr w:type="spellEnd"/>
      <w:r>
        <w:t xml:space="preserve">-Pentahydrat-Schmelze nun bis unter ihren Schmelzpunkt von 48 °C abgekühlt, entsteht eine übersättigte Lösung. Durch Erschütterung oder Impfkristalle kristallisiert das </w:t>
      </w:r>
      <w:proofErr w:type="spellStart"/>
      <w:r>
        <w:t>Natriumthiosulfat</w:t>
      </w:r>
      <w:proofErr w:type="spellEnd"/>
      <w:r>
        <w:t xml:space="preserve"> aus. Wärme, die beim Schmelzen zugeführt wurde, wird wieder freigesetzt. Die Temperatur steigt wieder etwa bis zum Schmelzpunkt an. Die Reaktion ist exotherm.</w:t>
      </w:r>
    </w:p>
    <w:p w:rsidR="00521379" w:rsidRDefault="00521379" w:rsidP="0052137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</w:r>
      <w:proofErr w:type="spellStart"/>
      <w:r>
        <w:t>Natriumthiosulfat</w:t>
      </w:r>
      <w:proofErr w:type="spellEnd"/>
      <w:r>
        <w:t>-Pentahydrat kann entweder in kristalliner Form aufgehoben werden, um den Versuch erneut durchzuführen oder im Behältnis für schwermetallhaltige Abfälle entsorgt werden.</w:t>
      </w:r>
    </w:p>
    <w:p w:rsidR="00521379" w:rsidRPr="006A1317" w:rsidRDefault="00521379" w:rsidP="00521379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rPr>
          <w:color w:val="auto"/>
        </w:rPr>
        <w:t xml:space="preserve">R. Herbst-Irmer, Anorganisch-Chemisches Praktikum, Praktikumsskript 2013, Georg-August </w:t>
      </w:r>
      <w:proofErr w:type="spellStart"/>
      <w:r>
        <w:rPr>
          <w:color w:val="auto"/>
        </w:rPr>
        <w:t>Univeristät</w:t>
      </w:r>
      <w:proofErr w:type="spellEnd"/>
      <w:r>
        <w:rPr>
          <w:color w:val="auto"/>
        </w:rPr>
        <w:t xml:space="preserve"> Göttingen, S. </w:t>
      </w:r>
      <w:r>
        <w:t>29ff.</w:t>
      </w:r>
    </w:p>
    <w:p w:rsidR="00792833" w:rsidRDefault="00521379" w:rsidP="00521379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817880"/>
                <wp:effectExtent l="13970" t="11430" r="8890" b="889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17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379" w:rsidRPr="009A5E50" w:rsidRDefault="00521379" w:rsidP="00521379">
                            <w:pPr>
                              <w:rPr>
                                <w:bCs/>
                                <w:color w:val="auto"/>
                              </w:rPr>
                            </w:pPr>
                            <w:r w:rsidRPr="009A5E50">
                              <w:rPr>
                                <w:bCs/>
                                <w:color w:val="auto"/>
                              </w:rPr>
                              <w:t>Die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 xml:space="preserve">ser Versuch kann außer für die Behandlung des Themas Kristallisationswärme auch genutzt werden, um den 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eine reversible Reaktion vorzuführen. Außerdem kann als Eigenschaft von Salzen ihr hoher Schmelzpunkt thematisiert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9" type="#_x0000_t202" style="width:462.4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521379" w:rsidRPr="009A5E50" w:rsidRDefault="00521379" w:rsidP="00521379">
                      <w:pPr>
                        <w:rPr>
                          <w:bCs/>
                          <w:color w:val="auto"/>
                        </w:rPr>
                      </w:pPr>
                      <w:r w:rsidRPr="009A5E50">
                        <w:rPr>
                          <w:bCs/>
                          <w:color w:val="auto"/>
                        </w:rPr>
                        <w:t>Die</w:t>
                      </w:r>
                      <w:r>
                        <w:rPr>
                          <w:bCs/>
                          <w:color w:val="auto"/>
                        </w:rPr>
                        <w:t xml:space="preserve">ser Versuch kann außer für die Behandlung des Themas Kristallisationswärme auch genutzt werden, um den 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eine reversible Reaktion vorzuführen. Außerdem kann als Eigenschaft von Salzen ihr hoher Schmelzpunkt thematisiert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2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7"/>
    <w:rsid w:val="00521379"/>
    <w:rsid w:val="00792833"/>
    <w:rsid w:val="00D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D727-B393-47E9-83DD-498E088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79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37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137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137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137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137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137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137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137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137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1379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1379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1379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13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13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13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13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13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1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21379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ni\Master\Praktika\SVP%20Chemie\78%20Energie\Auftragungen%20Protokol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Kristallisationswärme</a:t>
            </a:r>
            <a:r>
              <a:rPr lang="de-DE" baseline="0"/>
              <a:t> bei Kristallisation einer Schmelze</a:t>
            </a:r>
            <a:endParaRPr lang="de-DE"/>
          </a:p>
        </c:rich>
      </c:tx>
      <c:layout>
        <c:manualLayout>
          <c:xMode val="edge"/>
          <c:yMode val="edge"/>
          <c:x val="0.1623484223124034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2840867887534524"/>
          <c:y val="0.2789189189189189"/>
          <c:w val="0.82088069008429088"/>
          <c:h val="0.56971270483081504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Tabelle1!$B$64:$B$74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Tabelle1!$C$64:$C$77</c:f>
              <c:numCache>
                <c:formatCode>General</c:formatCode>
                <c:ptCount val="14"/>
                <c:pt idx="0">
                  <c:v>29</c:v>
                </c:pt>
                <c:pt idx="1">
                  <c:v>29</c:v>
                </c:pt>
                <c:pt idx="2">
                  <c:v>29</c:v>
                </c:pt>
                <c:pt idx="3">
                  <c:v>29</c:v>
                </c:pt>
                <c:pt idx="4">
                  <c:v>38.200000000000003</c:v>
                </c:pt>
                <c:pt idx="5">
                  <c:v>43.7</c:v>
                </c:pt>
                <c:pt idx="6">
                  <c:v>45.6</c:v>
                </c:pt>
                <c:pt idx="7">
                  <c:v>46.3</c:v>
                </c:pt>
                <c:pt idx="8">
                  <c:v>46.7</c:v>
                </c:pt>
                <c:pt idx="9">
                  <c:v>48.8</c:v>
                </c:pt>
                <c:pt idx="10">
                  <c:v>52.3</c:v>
                </c:pt>
                <c:pt idx="11">
                  <c:v>52.2</c:v>
                </c:pt>
                <c:pt idx="12">
                  <c:v>52.2</c:v>
                </c:pt>
                <c:pt idx="13">
                  <c:v>52.2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621944"/>
        <c:axId val="495622336"/>
      </c:scatterChart>
      <c:valAx>
        <c:axId val="495621944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Zeit 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22336"/>
        <c:crosses val="autoZero"/>
        <c:crossBetween val="midCat"/>
      </c:valAx>
      <c:valAx>
        <c:axId val="495622336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 T 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21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0.3703</cdr:x>
      <cdr:y>0.24638</cdr:y>
    </cdr:from>
    <cdr:to>
      <cdr:x>0.37095</cdr:x>
      <cdr:y>0.84556</cdr:y>
    </cdr:to>
    <cdr:cxnSp macro="">
      <cdr:nvCxnSpPr>
        <cdr:cNvPr id="2" name="Gerader Verbinder 1"/>
        <cdr:cNvCxnSpPr/>
      </cdr:nvCxnSpPr>
      <cdr:spPr>
        <a:xfrm xmlns:a="http://schemas.openxmlformats.org/drawingml/2006/main">
          <a:off x="1654450" y="607813"/>
          <a:ext cx="2900" cy="1478162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2016-08-08T15:50:00Z</cp:lastPrinted>
  <dcterms:created xsi:type="dcterms:W3CDTF">2016-08-08T15:48:00Z</dcterms:created>
  <dcterms:modified xsi:type="dcterms:W3CDTF">2016-08-08T15:50:00Z</dcterms:modified>
</cp:coreProperties>
</file>