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EA" w:rsidRPr="00853DEA" w:rsidRDefault="00853DEA" w:rsidP="00853DEA">
      <w:pPr>
        <w:pStyle w:val="berschrift2"/>
        <w:numPr>
          <w:ilvl w:val="0"/>
          <w:numId w:val="0"/>
        </w:numPr>
        <w:ind w:left="576" w:hanging="576"/>
        <w:rPr>
          <w:rFonts w:ascii="Cambria" w:hAnsi="Cambria"/>
          <w:color w:val="auto"/>
        </w:rPr>
      </w:pPr>
      <w:bookmarkStart w:id="0" w:name="_Toc457422773"/>
      <w:r w:rsidRPr="00853DEA">
        <w:rPr>
          <w:rFonts w:ascii="Cambria" w:hAnsi="Cambria"/>
          <w:noProof/>
          <w:lang w:eastAsia="de-DE"/>
        </w:rPr>
        <mc:AlternateContent>
          <mc:Choice Requires="wps">
            <w:drawing>
              <wp:anchor distT="0" distB="0" distL="114300" distR="114300" simplePos="0" relativeHeight="251659264" behindDoc="0" locked="0" layoutInCell="1" allowOverlap="1" wp14:anchorId="47226D8A" wp14:editId="0ED1308F">
                <wp:simplePos x="0" y="0"/>
                <wp:positionH relativeFrom="column">
                  <wp:posOffset>5715</wp:posOffset>
                </wp:positionH>
                <wp:positionV relativeFrom="paragraph">
                  <wp:posOffset>367665</wp:posOffset>
                </wp:positionV>
                <wp:extent cx="5873115" cy="828040"/>
                <wp:effectExtent l="0" t="0" r="13335" b="10160"/>
                <wp:wrapSquare wrapText="bothSides"/>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804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DEA" w:rsidRPr="00F31EBF" w:rsidRDefault="00853DEA" w:rsidP="00853DEA">
                            <w:pPr>
                              <w:rPr>
                                <w:color w:val="auto"/>
                              </w:rPr>
                            </w:pPr>
                            <w:r>
                              <w:rPr>
                                <w:color w:val="auto"/>
                              </w:rPr>
                              <w:t>Der Versuch stellt eine Elektronenübertragungsreaktion dar, an welcher kein Sauerstoff beteiligt ist. Zur Erklärung des Experiments wird an Vorwissen der SuS der erweiterte Redoxbegriff benötigt.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26D8A" id="_x0000_t202" coordsize="21600,21600" o:spt="202" path="m,l,21600r21600,l21600,xe">
                <v:stroke joinstyle="miter"/>
                <v:path gradientshapeok="t" o:connecttype="rect"/>
              </v:shapetype>
              <v:shape id="Text Box 60" o:spid="_x0000_s1026" type="#_x0000_t202" style="position:absolute;left:0;text-align:left;margin-left:.45pt;margin-top:28.95pt;width:462.4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" fillcolor="white [3201]" strokecolor="#4472c4 [3208]" strokeweight="1pt">
                <v:stroke dashstyle="dash"/>
                <v:shadow color="#868686"/>
                <v:textbox>
                  <w:txbxContent>
                    <w:p w:rsidR="00853DEA" w:rsidRPr="00F31EBF" w:rsidRDefault="00853DEA" w:rsidP="00853DEA">
                      <w:pPr>
                        <w:rPr>
                          <w:color w:val="auto"/>
                        </w:rPr>
                      </w:pPr>
                      <w:r>
                        <w:rPr>
                          <w:color w:val="auto"/>
                        </w:rPr>
                        <w:t>Der Versuch stellt eine Elektronenübertragungsreaktion dar, an welcher kein Sauerstoff beteiligt ist. Zur Erklärung des Experiments wird an Vorwissen der SuS der erweiterte Redoxbegriff benötigt.</w:t>
                      </w:r>
                    </w:p>
                  </w:txbxContent>
                </v:textbox>
                <w10:wrap type="square"/>
              </v:shape>
            </w:pict>
          </mc:Fallback>
        </mc:AlternateContent>
      </w:r>
      <w:bookmarkStart w:id="1" w:name="_GoBack"/>
      <w:bookmarkEnd w:id="1"/>
      <w:r w:rsidRPr="00853DEA">
        <w:rPr>
          <w:rFonts w:ascii="Cambria" w:hAnsi="Cambria"/>
          <w:color w:val="auto"/>
        </w:rPr>
        <w:t>Reaktion von Kaliumpermanganat und Salzsäure</w:t>
      </w:r>
      <w:bookmarkEnd w:id="0"/>
    </w:p>
    <w:p w:rsidR="00853DEA" w:rsidRPr="00853DEA" w:rsidRDefault="00853DEA" w:rsidP="00853DEA"/>
    <w:tbl>
      <w:tblPr>
        <w:tblW w:w="9322" w:type="dxa"/>
        <w:tblInd w:w="-1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53DEA" w:rsidRPr="00853DEA" w:rsidTr="00BE317B">
        <w:tc>
          <w:tcPr>
            <w:tcW w:w="9322" w:type="dxa"/>
            <w:gridSpan w:val="9"/>
            <w:shd w:val="clear" w:color="auto" w:fill="4F81BD"/>
            <w:vAlign w:val="center"/>
          </w:tcPr>
          <w:p w:rsidR="00853DEA" w:rsidRPr="00853DEA" w:rsidRDefault="00853DEA" w:rsidP="00BE317B">
            <w:pPr>
              <w:spacing w:after="0"/>
              <w:jc w:val="center"/>
              <w:rPr>
                <w:b/>
                <w:bCs/>
                <w:color w:val="FFFFFF" w:themeColor="background1"/>
              </w:rPr>
            </w:pPr>
            <w:r w:rsidRPr="00853DEA">
              <w:rPr>
                <w:b/>
                <w:bCs/>
                <w:color w:val="FFFFFF" w:themeColor="background1"/>
              </w:rPr>
              <w:t>Gefahrenstoffe</w:t>
            </w:r>
          </w:p>
        </w:tc>
      </w:tr>
      <w:tr w:rsidR="00853DEA" w:rsidRPr="00853DEA" w:rsidTr="00BE317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53DEA" w:rsidRPr="00853DEA" w:rsidRDefault="00853DEA" w:rsidP="00BE317B">
            <w:pPr>
              <w:spacing w:after="0" w:line="276" w:lineRule="auto"/>
              <w:jc w:val="center"/>
              <w:rPr>
                <w:b/>
                <w:bCs/>
              </w:rPr>
            </w:pPr>
            <w:r w:rsidRPr="00853DEA">
              <w:rPr>
                <w:sz w:val="20"/>
              </w:rPr>
              <w:t>Kaliumpermanganat</w:t>
            </w:r>
          </w:p>
        </w:tc>
        <w:tc>
          <w:tcPr>
            <w:tcW w:w="3177" w:type="dxa"/>
            <w:gridSpan w:val="3"/>
            <w:tcBorders>
              <w:top w:val="single" w:sz="8" w:space="0" w:color="4F81BD"/>
              <w:bottom w:val="single" w:sz="8" w:space="0" w:color="4F81BD"/>
            </w:tcBorders>
            <w:shd w:val="clear" w:color="auto" w:fill="auto"/>
            <w:vAlign w:val="center"/>
          </w:tcPr>
          <w:p w:rsidR="00853DEA" w:rsidRPr="00853DEA" w:rsidRDefault="00853DEA" w:rsidP="00BE317B">
            <w:pPr>
              <w:spacing w:after="0"/>
              <w:jc w:val="center"/>
              <w:rPr>
                <w:sz w:val="20"/>
                <w:szCs w:val="20"/>
              </w:rPr>
            </w:pPr>
            <w:r w:rsidRPr="00853DEA">
              <w:rPr>
                <w:sz w:val="20"/>
                <w:szCs w:val="20"/>
              </w:rPr>
              <w:t>H: 272-302-314-410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53DEA" w:rsidRPr="00853DEA" w:rsidRDefault="00853DEA" w:rsidP="00BE317B">
            <w:pPr>
              <w:spacing w:after="0"/>
              <w:jc w:val="center"/>
            </w:pPr>
            <w:r w:rsidRPr="00853DEA">
              <w:rPr>
                <w:sz w:val="20"/>
              </w:rPr>
              <w:t>P:220-273-280-305+351+338-310-501.1</w:t>
            </w:r>
          </w:p>
        </w:tc>
      </w:tr>
      <w:tr w:rsidR="00853DEA" w:rsidRPr="00853DEA" w:rsidTr="00BE317B">
        <w:trPr>
          <w:trHeight w:val="434"/>
        </w:trPr>
        <w:tc>
          <w:tcPr>
            <w:tcW w:w="3027" w:type="dxa"/>
            <w:gridSpan w:val="3"/>
            <w:tcBorders>
              <w:bottom w:val="single" w:sz="4" w:space="0" w:color="5B9BD5" w:themeColor="accent1"/>
            </w:tcBorders>
            <w:shd w:val="clear" w:color="auto" w:fill="auto"/>
            <w:vAlign w:val="center"/>
          </w:tcPr>
          <w:p w:rsidR="00853DEA" w:rsidRPr="00853DEA" w:rsidRDefault="00853DEA" w:rsidP="00BE317B">
            <w:pPr>
              <w:spacing w:after="0" w:line="276" w:lineRule="auto"/>
              <w:jc w:val="center"/>
              <w:rPr>
                <w:bCs/>
                <w:sz w:val="20"/>
              </w:rPr>
            </w:pPr>
            <w:r w:rsidRPr="00853DEA">
              <w:rPr>
                <w:color w:val="auto"/>
                <w:sz w:val="20"/>
                <w:szCs w:val="20"/>
              </w:rPr>
              <w:t>Salzsäure</w:t>
            </w:r>
          </w:p>
        </w:tc>
        <w:tc>
          <w:tcPr>
            <w:tcW w:w="3177" w:type="dxa"/>
            <w:gridSpan w:val="3"/>
            <w:tcBorders>
              <w:bottom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H: 315</w:t>
            </w:r>
          </w:p>
        </w:tc>
        <w:tc>
          <w:tcPr>
            <w:tcW w:w="3118" w:type="dxa"/>
            <w:gridSpan w:val="3"/>
            <w:tcBorders>
              <w:bottom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P: 302+352</w:t>
            </w:r>
          </w:p>
        </w:tc>
      </w:tr>
      <w:tr w:rsidR="00853DEA" w:rsidRPr="00853DEA" w:rsidTr="00BE317B">
        <w:trPr>
          <w:trHeight w:val="434"/>
        </w:trPr>
        <w:tc>
          <w:tcPr>
            <w:tcW w:w="3027" w:type="dxa"/>
            <w:gridSpan w:val="3"/>
            <w:tcBorders>
              <w:top w:val="single" w:sz="4" w:space="0" w:color="5B9BD5" w:themeColor="accent1"/>
            </w:tcBorders>
            <w:shd w:val="clear" w:color="auto" w:fill="auto"/>
            <w:vAlign w:val="center"/>
          </w:tcPr>
          <w:p w:rsidR="00853DEA" w:rsidRPr="00853DEA" w:rsidRDefault="00853DEA" w:rsidP="00BE317B">
            <w:pPr>
              <w:spacing w:after="0" w:line="276" w:lineRule="auto"/>
              <w:jc w:val="center"/>
              <w:rPr>
                <w:color w:val="auto"/>
                <w:sz w:val="18"/>
                <w:szCs w:val="20"/>
              </w:rPr>
            </w:pPr>
            <w:r w:rsidRPr="00853DEA">
              <w:rPr>
                <w:color w:val="auto"/>
                <w:sz w:val="20"/>
                <w:szCs w:val="20"/>
              </w:rPr>
              <w:t>Wasser</w:t>
            </w:r>
          </w:p>
        </w:tc>
        <w:tc>
          <w:tcPr>
            <w:tcW w:w="3177" w:type="dxa"/>
            <w:gridSpan w:val="3"/>
            <w:tcBorders>
              <w:top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w:t>
            </w:r>
          </w:p>
        </w:tc>
        <w:tc>
          <w:tcPr>
            <w:tcW w:w="3118" w:type="dxa"/>
            <w:gridSpan w:val="3"/>
            <w:tcBorders>
              <w:top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w:t>
            </w:r>
          </w:p>
        </w:tc>
      </w:tr>
      <w:tr w:rsidR="00853DEA" w:rsidRPr="00853DEA" w:rsidTr="00BE317B">
        <w:trPr>
          <w:trHeight w:val="434"/>
        </w:trPr>
        <w:tc>
          <w:tcPr>
            <w:tcW w:w="3027" w:type="dxa"/>
            <w:gridSpan w:val="3"/>
            <w:tcBorders>
              <w:top w:val="single" w:sz="4" w:space="0" w:color="5B9BD5" w:themeColor="accent1"/>
            </w:tcBorders>
            <w:shd w:val="clear" w:color="auto" w:fill="auto"/>
            <w:vAlign w:val="center"/>
          </w:tcPr>
          <w:p w:rsidR="00853DEA" w:rsidRPr="00853DEA" w:rsidRDefault="00853DEA" w:rsidP="00BE317B">
            <w:pPr>
              <w:spacing w:after="0" w:line="276" w:lineRule="auto"/>
              <w:jc w:val="center"/>
              <w:rPr>
                <w:color w:val="auto"/>
                <w:sz w:val="20"/>
                <w:szCs w:val="20"/>
              </w:rPr>
            </w:pPr>
            <w:r w:rsidRPr="00853DEA">
              <w:rPr>
                <w:color w:val="auto"/>
                <w:sz w:val="20"/>
                <w:szCs w:val="20"/>
              </w:rPr>
              <w:t>Chlor</w:t>
            </w:r>
          </w:p>
        </w:tc>
        <w:tc>
          <w:tcPr>
            <w:tcW w:w="3177" w:type="dxa"/>
            <w:gridSpan w:val="3"/>
            <w:tcBorders>
              <w:top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H: 270-330-315-319-335-400-280</w:t>
            </w:r>
          </w:p>
        </w:tc>
        <w:tc>
          <w:tcPr>
            <w:tcW w:w="3118" w:type="dxa"/>
            <w:gridSpan w:val="3"/>
            <w:tcBorders>
              <w:top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P: 260-220-280-273-304+340-305+351+338-332+313-302+352-315-405</w:t>
            </w:r>
          </w:p>
        </w:tc>
      </w:tr>
      <w:tr w:rsidR="00853DEA" w:rsidRPr="00853DEA" w:rsidTr="00BE317B">
        <w:trPr>
          <w:trHeight w:val="434"/>
        </w:trPr>
        <w:tc>
          <w:tcPr>
            <w:tcW w:w="3027" w:type="dxa"/>
            <w:gridSpan w:val="3"/>
            <w:tcBorders>
              <w:top w:val="single" w:sz="4" w:space="0" w:color="5B9BD5" w:themeColor="accent1"/>
            </w:tcBorders>
            <w:shd w:val="clear" w:color="auto" w:fill="auto"/>
            <w:vAlign w:val="center"/>
          </w:tcPr>
          <w:p w:rsidR="00853DEA" w:rsidRPr="00853DEA" w:rsidRDefault="00853DEA" w:rsidP="00BE317B">
            <w:pPr>
              <w:spacing w:after="0" w:line="276" w:lineRule="auto"/>
              <w:jc w:val="center"/>
              <w:rPr>
                <w:color w:val="auto"/>
                <w:sz w:val="20"/>
                <w:szCs w:val="20"/>
              </w:rPr>
            </w:pPr>
            <w:r w:rsidRPr="00853DEA">
              <w:rPr>
                <w:color w:val="auto"/>
                <w:sz w:val="20"/>
                <w:szCs w:val="20"/>
              </w:rPr>
              <w:t>Kaliumchlorid</w:t>
            </w:r>
          </w:p>
        </w:tc>
        <w:tc>
          <w:tcPr>
            <w:tcW w:w="3177" w:type="dxa"/>
            <w:gridSpan w:val="3"/>
            <w:tcBorders>
              <w:top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w:t>
            </w:r>
          </w:p>
        </w:tc>
        <w:tc>
          <w:tcPr>
            <w:tcW w:w="3118" w:type="dxa"/>
            <w:gridSpan w:val="3"/>
            <w:tcBorders>
              <w:top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w:t>
            </w:r>
          </w:p>
        </w:tc>
      </w:tr>
      <w:tr w:rsidR="00853DEA" w:rsidRPr="00853DEA" w:rsidTr="00BE317B">
        <w:trPr>
          <w:trHeight w:val="434"/>
        </w:trPr>
        <w:tc>
          <w:tcPr>
            <w:tcW w:w="3027" w:type="dxa"/>
            <w:gridSpan w:val="3"/>
            <w:tcBorders>
              <w:top w:val="single" w:sz="4" w:space="0" w:color="5B9BD5" w:themeColor="accent1"/>
            </w:tcBorders>
            <w:shd w:val="clear" w:color="auto" w:fill="auto"/>
            <w:vAlign w:val="center"/>
          </w:tcPr>
          <w:p w:rsidR="00853DEA" w:rsidRPr="00853DEA" w:rsidRDefault="00853DEA" w:rsidP="00BE317B">
            <w:pPr>
              <w:spacing w:after="0" w:line="276" w:lineRule="auto"/>
              <w:jc w:val="center"/>
              <w:rPr>
                <w:color w:val="auto"/>
                <w:sz w:val="20"/>
                <w:szCs w:val="20"/>
              </w:rPr>
            </w:pPr>
            <w:r w:rsidRPr="00853DEA">
              <w:rPr>
                <w:color w:val="auto"/>
                <w:sz w:val="20"/>
                <w:szCs w:val="20"/>
              </w:rPr>
              <w:t>Manganchlorid</w:t>
            </w:r>
          </w:p>
        </w:tc>
        <w:tc>
          <w:tcPr>
            <w:tcW w:w="3177" w:type="dxa"/>
            <w:gridSpan w:val="3"/>
            <w:tcBorders>
              <w:top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H: 301-411</w:t>
            </w:r>
          </w:p>
        </w:tc>
        <w:tc>
          <w:tcPr>
            <w:tcW w:w="3118" w:type="dxa"/>
            <w:gridSpan w:val="3"/>
            <w:tcBorders>
              <w:top w:val="single" w:sz="4" w:space="0" w:color="5B9BD5" w:themeColor="accent1"/>
            </w:tcBorders>
            <w:shd w:val="clear" w:color="auto" w:fill="auto"/>
            <w:vAlign w:val="center"/>
          </w:tcPr>
          <w:p w:rsidR="00853DEA" w:rsidRPr="00853DEA" w:rsidRDefault="00853DEA" w:rsidP="00BE317B">
            <w:pPr>
              <w:pStyle w:val="Beschriftung"/>
              <w:spacing w:after="0"/>
              <w:jc w:val="center"/>
              <w:rPr>
                <w:sz w:val="20"/>
              </w:rPr>
            </w:pPr>
            <w:r w:rsidRPr="00853DEA">
              <w:rPr>
                <w:sz w:val="20"/>
              </w:rPr>
              <w:t>P: 273-309+310</w:t>
            </w:r>
          </w:p>
        </w:tc>
      </w:tr>
      <w:tr w:rsidR="00853DEA" w:rsidRPr="00853DEA" w:rsidTr="00BE317B">
        <w:tc>
          <w:tcPr>
            <w:tcW w:w="1009" w:type="dxa"/>
            <w:tcBorders>
              <w:top w:val="single" w:sz="8" w:space="0" w:color="4F81BD"/>
              <w:left w:val="single" w:sz="8" w:space="0" w:color="4F81BD"/>
              <w:bottom w:val="single" w:sz="8" w:space="0" w:color="4F81BD"/>
            </w:tcBorders>
            <w:shd w:val="clear" w:color="auto" w:fill="auto"/>
            <w:vAlign w:val="center"/>
          </w:tcPr>
          <w:p w:rsidR="00853DEA" w:rsidRPr="00853DEA" w:rsidRDefault="00853DEA" w:rsidP="00BE317B">
            <w:pPr>
              <w:spacing w:after="0"/>
              <w:jc w:val="center"/>
              <w:rPr>
                <w:b/>
                <w:bCs/>
              </w:rPr>
            </w:pPr>
            <w:r w:rsidRPr="00853DEA">
              <w:rPr>
                <w:b/>
                <w:noProof/>
                <w:lang w:eastAsia="de-DE"/>
              </w:rPr>
              <w:drawing>
                <wp:inline distT="0" distB="0" distL="0" distR="0" wp14:anchorId="0A40A73C" wp14:editId="6D5C4EA2">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3DEA" w:rsidRPr="00853DEA" w:rsidRDefault="00853DEA" w:rsidP="00BE317B">
            <w:pPr>
              <w:spacing w:after="0"/>
              <w:jc w:val="center"/>
            </w:pPr>
            <w:r w:rsidRPr="00853DEA">
              <w:rPr>
                <w:noProof/>
                <w:lang w:eastAsia="de-DE"/>
              </w:rPr>
              <w:drawing>
                <wp:inline distT="0" distB="0" distL="0" distR="0" wp14:anchorId="094192A4" wp14:editId="33A365BC">
                  <wp:extent cx="504000" cy="504000"/>
                  <wp:effectExtent l="0" t="0" r="0" b="0"/>
                  <wp:docPr id="40" name="Grafik 40"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Brandfördernd.pn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3DEA" w:rsidRPr="00853DEA" w:rsidRDefault="00853DEA" w:rsidP="00BE317B">
            <w:pPr>
              <w:spacing w:after="0"/>
              <w:jc w:val="center"/>
            </w:pPr>
            <w:r w:rsidRPr="00853DEA">
              <w:rPr>
                <w:noProof/>
                <w:lang w:eastAsia="de-DE"/>
              </w:rPr>
              <w:drawing>
                <wp:inline distT="0" distB="0" distL="0" distR="0" wp14:anchorId="1E82B411" wp14:editId="1742B0B1">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3DEA" w:rsidRPr="00853DEA" w:rsidRDefault="00853DEA" w:rsidP="00BE317B">
            <w:pPr>
              <w:spacing w:after="0"/>
              <w:jc w:val="center"/>
            </w:pPr>
            <w:r w:rsidRPr="00853DEA">
              <w:rPr>
                <w:noProof/>
                <w:lang w:eastAsia="de-DE"/>
              </w:rPr>
              <w:drawing>
                <wp:inline distT="0" distB="0" distL="0" distR="0" wp14:anchorId="748138D6" wp14:editId="1C6E4EF9">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53DEA" w:rsidRPr="00853DEA" w:rsidRDefault="00853DEA" w:rsidP="00BE317B">
            <w:pPr>
              <w:spacing w:after="0"/>
              <w:jc w:val="center"/>
            </w:pPr>
            <w:r w:rsidRPr="00853DEA">
              <w:rPr>
                <w:noProof/>
                <w:lang w:eastAsia="de-DE"/>
              </w:rPr>
              <w:drawing>
                <wp:inline distT="0" distB="0" distL="0" distR="0" wp14:anchorId="4ED86938" wp14:editId="5F495D1D">
                  <wp:extent cx="511200" cy="511200"/>
                  <wp:effectExtent l="0" t="0" r="3175" b="3175"/>
                  <wp:docPr id="4" name="Grafik 4"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Gasflasche.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53DEA" w:rsidRPr="00853DEA" w:rsidRDefault="00853DEA" w:rsidP="00BE317B">
            <w:pPr>
              <w:spacing w:after="0"/>
              <w:jc w:val="center"/>
            </w:pPr>
            <w:r w:rsidRPr="00853DEA">
              <w:rPr>
                <w:noProof/>
                <w:lang w:eastAsia="de-DE"/>
              </w:rPr>
              <w:drawing>
                <wp:inline distT="0" distB="0" distL="0" distR="0" wp14:anchorId="1C85FE39" wp14:editId="5B769EA2">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53DEA" w:rsidRPr="00853DEA" w:rsidRDefault="00853DEA" w:rsidP="00BE317B">
            <w:pPr>
              <w:spacing w:after="0"/>
              <w:jc w:val="center"/>
            </w:pPr>
            <w:r w:rsidRPr="00853DEA">
              <w:rPr>
                <w:noProof/>
                <w:lang w:eastAsia="de-DE"/>
              </w:rPr>
              <w:drawing>
                <wp:inline distT="0" distB="0" distL="0" distR="0" wp14:anchorId="70B08317" wp14:editId="3EA20C2E">
                  <wp:extent cx="511200" cy="511200"/>
                  <wp:effectExtent l="0" t="0" r="3175" b="3175"/>
                  <wp:docPr id="5" name="Grafik 5"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iftig.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53DEA" w:rsidRPr="00853DEA" w:rsidRDefault="00853DEA" w:rsidP="00BE317B">
            <w:pPr>
              <w:spacing w:after="0"/>
              <w:jc w:val="center"/>
            </w:pPr>
            <w:r w:rsidRPr="00853DEA">
              <w:rPr>
                <w:noProof/>
                <w:lang w:eastAsia="de-DE"/>
              </w:rPr>
              <w:drawing>
                <wp:inline distT="0" distB="0" distL="0" distR="0" wp14:anchorId="69BA203E" wp14:editId="2473DB11">
                  <wp:extent cx="511175" cy="511175"/>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53DEA" w:rsidRPr="00853DEA" w:rsidRDefault="00853DEA" w:rsidP="00BE317B">
            <w:pPr>
              <w:spacing w:after="0"/>
              <w:jc w:val="center"/>
            </w:pPr>
            <w:r w:rsidRPr="00853DEA">
              <w:rPr>
                <w:noProof/>
                <w:lang w:eastAsia="de-DE"/>
              </w:rPr>
              <w:drawing>
                <wp:inline distT="0" distB="0" distL="0" distR="0" wp14:anchorId="0BA7EE46" wp14:editId="446CB7C4">
                  <wp:extent cx="511200" cy="511200"/>
                  <wp:effectExtent l="0" t="0" r="3175" b="3175"/>
                  <wp:docPr id="23" name="Grafik 23"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853DEA" w:rsidRPr="00853DEA" w:rsidRDefault="00853DEA" w:rsidP="00853DEA">
      <w:pPr>
        <w:tabs>
          <w:tab w:val="left" w:pos="1701"/>
          <w:tab w:val="left" w:pos="1985"/>
        </w:tabs>
        <w:ind w:left="1980" w:hanging="1980"/>
      </w:pPr>
    </w:p>
    <w:p w:rsidR="00853DEA" w:rsidRPr="00853DEA" w:rsidRDefault="00853DEA" w:rsidP="00853DEA">
      <w:pPr>
        <w:tabs>
          <w:tab w:val="left" w:pos="1701"/>
          <w:tab w:val="left" w:pos="1985"/>
        </w:tabs>
        <w:ind w:left="1980" w:hanging="1980"/>
      </w:pPr>
      <w:r w:rsidRPr="00853DEA">
        <w:t xml:space="preserve">Materialien: </w:t>
      </w:r>
      <w:r w:rsidRPr="00853DEA">
        <w:tab/>
      </w:r>
      <w:r w:rsidRPr="00853DEA">
        <w:tab/>
        <w:t>Stativ, Reagenzglas, Pipette, Becherglas</w:t>
      </w:r>
    </w:p>
    <w:p w:rsidR="00853DEA" w:rsidRPr="00853DEA" w:rsidRDefault="00853DEA" w:rsidP="00853DEA">
      <w:pPr>
        <w:tabs>
          <w:tab w:val="left" w:pos="1701"/>
          <w:tab w:val="left" w:pos="1985"/>
        </w:tabs>
        <w:ind w:left="1980" w:hanging="1980"/>
      </w:pPr>
      <w:r w:rsidRPr="00853DEA">
        <w:t>Chemikalien:</w:t>
      </w:r>
      <w:r w:rsidRPr="00853DEA">
        <w:tab/>
      </w:r>
      <w:r w:rsidRPr="00853DEA">
        <w:tab/>
        <w:t>Kaliumpermanganat, konzentrierte Salzsäure, Wasser, Chlor, Kaliumchlorid, Manganchlorid</w:t>
      </w:r>
    </w:p>
    <w:p w:rsidR="00853DEA" w:rsidRPr="00853DEA" w:rsidRDefault="00853DEA" w:rsidP="00853DEA">
      <w:pPr>
        <w:tabs>
          <w:tab w:val="left" w:pos="1701"/>
          <w:tab w:val="left" w:pos="1985"/>
        </w:tabs>
        <w:ind w:left="1980" w:hanging="1980"/>
        <w:rPr>
          <w:b/>
        </w:rPr>
      </w:pPr>
      <w:r w:rsidRPr="00853DEA">
        <w:rPr>
          <w:b/>
        </w:rPr>
        <w:t>Sicherheitshinweis:</w:t>
      </w:r>
      <w:r w:rsidRPr="00853DEA">
        <w:rPr>
          <w:b/>
        </w:rPr>
        <w:tab/>
        <w:t>Der Versuch ist unter dem Abzug durchzuführen, da Chlorgas entsteht!</w:t>
      </w:r>
    </w:p>
    <w:p w:rsidR="00853DEA" w:rsidRPr="00853DEA" w:rsidRDefault="00853DEA" w:rsidP="00853DEA">
      <w:pPr>
        <w:tabs>
          <w:tab w:val="left" w:pos="1701"/>
          <w:tab w:val="left" w:pos="1985"/>
        </w:tabs>
        <w:ind w:left="1980" w:hanging="1980"/>
      </w:pPr>
      <w:r w:rsidRPr="00853DEA">
        <w:t xml:space="preserve">Durchführung: </w:t>
      </w:r>
      <w:r w:rsidRPr="00853DEA">
        <w:tab/>
      </w:r>
      <w:r w:rsidRPr="00853DEA">
        <w:tab/>
        <w:t xml:space="preserve">Es wird eine konzentrierte Kaliumpermanganat-Lösung angesetzt und wenige Zentimeter in das Reagenzglas gefüllt. Über eine Pipette wird konzentrierte Salzsäure hinzu getropft. </w:t>
      </w:r>
    </w:p>
    <w:p w:rsidR="00853DEA" w:rsidRPr="00853DEA" w:rsidRDefault="00853DEA" w:rsidP="00853DEA">
      <w:pPr>
        <w:tabs>
          <w:tab w:val="left" w:pos="1701"/>
          <w:tab w:val="left" w:pos="1985"/>
        </w:tabs>
        <w:ind w:left="1980" w:hanging="1980"/>
      </w:pPr>
      <w:r w:rsidRPr="00853DEA">
        <w:t xml:space="preserve">Beobachtung: </w:t>
      </w:r>
      <w:r w:rsidRPr="00853DEA">
        <w:tab/>
      </w:r>
      <w:r w:rsidRPr="00853DEA">
        <w:tab/>
        <w:t>Die Lösung entfärbt sich und es ist ein leichter Chlorgeruch wahrnehmbar.</w:t>
      </w:r>
    </w:p>
    <w:p w:rsidR="00853DEA" w:rsidRPr="00853DEA" w:rsidRDefault="00853DEA" w:rsidP="00853DEA">
      <w:pPr>
        <w:tabs>
          <w:tab w:val="left" w:pos="1701"/>
          <w:tab w:val="left" w:pos="1985"/>
        </w:tabs>
        <w:ind w:left="1980" w:hanging="1980"/>
        <w:jc w:val="center"/>
      </w:pPr>
      <w:r w:rsidRPr="00853DEA">
        <w:rPr>
          <w:noProof/>
          <w:lang w:eastAsia="de-DE"/>
        </w:rPr>
        <w:lastRenderedPageBreak/>
        <w:drawing>
          <wp:inline distT="0" distB="0" distL="0" distR="0" wp14:anchorId="19D2A6DC" wp14:editId="4157F26E">
            <wp:extent cx="1457325" cy="2594749"/>
            <wp:effectExtent l="0" t="0" r="0" b="0"/>
            <wp:docPr id="20" name="Grafik 20" descr="C:\Users\Annika\Desktop\KMnO4-,H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KMnO4-,HCl.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59522" cy="2598660"/>
                    </a:xfrm>
                    <a:prstGeom prst="rect">
                      <a:avLst/>
                    </a:prstGeom>
                    <a:noFill/>
                    <a:ln>
                      <a:noFill/>
                    </a:ln>
                  </pic:spPr>
                </pic:pic>
              </a:graphicData>
            </a:graphic>
          </wp:inline>
        </w:drawing>
      </w:r>
    </w:p>
    <w:p w:rsidR="00853DEA" w:rsidRPr="00853DEA" w:rsidRDefault="00853DEA" w:rsidP="00853DEA">
      <w:pPr>
        <w:pStyle w:val="Beschriftung"/>
        <w:jc w:val="center"/>
      </w:pPr>
      <w:r w:rsidRPr="00853DEA">
        <w:t>Abb. 3 – Aufbau der Reaktion von Kaliumpermanganat-Lösung mit konzentrierter Salzsäure.</w:t>
      </w:r>
    </w:p>
    <w:p w:rsidR="00853DEA" w:rsidRPr="00853DEA" w:rsidRDefault="00853DEA" w:rsidP="00853DEA">
      <w:pPr>
        <w:tabs>
          <w:tab w:val="left" w:pos="1701"/>
          <w:tab w:val="left" w:pos="1985"/>
        </w:tabs>
        <w:ind w:left="1980" w:hanging="1980"/>
      </w:pPr>
    </w:p>
    <w:p w:rsidR="00853DEA" w:rsidRPr="00853DEA" w:rsidRDefault="00853DEA" w:rsidP="00853DEA">
      <w:pPr>
        <w:tabs>
          <w:tab w:val="left" w:pos="1701"/>
          <w:tab w:val="left" w:pos="1985"/>
        </w:tabs>
        <w:ind w:left="1980" w:hanging="1980"/>
      </w:pPr>
      <w:r w:rsidRPr="00853DEA">
        <w:t xml:space="preserve">Deutung: </w:t>
      </w:r>
      <w:r w:rsidRPr="00853DEA">
        <w:tab/>
      </w:r>
      <w:r w:rsidRPr="00853DEA">
        <w:tab/>
        <w:t>Die Chlorid-Ionen werden zu gasförmigem Chlor oxidiert, geben als Elektronen ab. Die Permanganat-Ionen nehmen hingegen Elektronen auf und werden zu Mangan(II)-Ionen reduziert.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2"/>
        <w:gridCol w:w="3421"/>
        <w:gridCol w:w="426"/>
        <w:gridCol w:w="3118"/>
        <w:gridCol w:w="425"/>
      </w:tblGrid>
      <w:tr w:rsidR="00853DEA" w:rsidRPr="00853DEA" w:rsidTr="00BE317B">
        <w:tc>
          <w:tcPr>
            <w:tcW w:w="1682" w:type="dxa"/>
          </w:tcPr>
          <w:p w:rsidR="00853DEA" w:rsidRPr="00853DEA" w:rsidRDefault="00853DEA" w:rsidP="00BE317B">
            <w:pPr>
              <w:tabs>
                <w:tab w:val="left" w:pos="1701"/>
                <w:tab w:val="left" w:pos="1985"/>
              </w:tabs>
            </w:pPr>
            <w:r w:rsidRPr="00853DEA">
              <w:t>Reduktion:</w:t>
            </w:r>
          </w:p>
        </w:tc>
        <w:tc>
          <w:tcPr>
            <w:tcW w:w="3421" w:type="dxa"/>
          </w:tcPr>
          <w:p w:rsidR="00853DEA" w:rsidRPr="00853DEA" w:rsidRDefault="00853DEA" w:rsidP="00BE317B">
            <w:pPr>
              <w:tabs>
                <w:tab w:val="left" w:pos="1701"/>
                <w:tab w:val="left" w:pos="1985"/>
              </w:tabs>
              <w:jc w:val="right"/>
            </w:pPr>
            <m:oMathPara>
              <m:oMathParaPr>
                <m:jc m:val="right"/>
              </m:oMathParaPr>
              <m:oMath>
                <m:sSubSup>
                  <m:sSubSupPr>
                    <m:ctrlPr>
                      <w:rPr>
                        <w:rFonts w:ascii="Cambria Math" w:hAnsi="Cambria Math"/>
                      </w:rPr>
                    </m:ctrlPr>
                  </m:sSubSupPr>
                  <m:e>
                    <m:r>
                      <m:rPr>
                        <m:sty m:val="p"/>
                      </m:rPr>
                      <w:rPr>
                        <w:rFonts w:ascii="Cambria Math" w:hAnsi="Cambria Math"/>
                      </w:rPr>
                      <m:t>MnO</m:t>
                    </m:r>
                  </m:e>
                  <m:sub>
                    <m:r>
                      <m:rPr>
                        <m:sty m:val="p"/>
                      </m:rPr>
                      <w:rPr>
                        <w:rFonts w:ascii="Cambria Math" w:hAnsi="Cambria Math"/>
                      </w:rPr>
                      <m:t xml:space="preserve">4 </m:t>
                    </m:r>
                  </m:sub>
                  <m:sup>
                    <m:r>
                      <m:rPr>
                        <m:sty m:val="p"/>
                      </m:rPr>
                      <w:rPr>
                        <w:rFonts w:ascii="Cambria Math" w:hAnsi="Cambria Math"/>
                      </w:rPr>
                      <m:t>-</m:t>
                    </m:r>
                  </m:sup>
                </m:sSubSup>
                <m:r>
                  <m:rPr>
                    <m:sty m:val="p"/>
                  </m:rPr>
                  <w:rPr>
                    <w:rFonts w:ascii="Cambria Math" w:hAnsi="Cambria Math"/>
                  </w:rPr>
                  <m:t>+5</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+8 </m:t>
                </m:r>
                <m:sSubSup>
                  <m:sSubSupPr>
                    <m:ctrlPr>
                      <w:rPr>
                        <w:rFonts w:ascii="Cambria Math" w:hAnsi="Cambria Math"/>
                      </w:rPr>
                    </m:ctrlPr>
                  </m:sSubSupPr>
                  <m:e>
                    <m:r>
                      <m:rPr>
                        <m:sty m:val="p"/>
                      </m:rPr>
                      <w:rPr>
                        <w:rFonts w:ascii="Cambria Math" w:hAnsi="Cambria Math"/>
                      </w:rPr>
                      <m:t>H</m:t>
                    </m:r>
                  </m:e>
                  <m:sub/>
                  <m:sup>
                    <m:r>
                      <m:rPr>
                        <m:sty m:val="p"/>
                      </m:rPr>
                      <w:rPr>
                        <w:rFonts w:ascii="Cambria Math" w:hAnsi="Cambria Math"/>
                      </w:rPr>
                      <m:t>+</m:t>
                    </m:r>
                  </m:sup>
                </m:sSubSup>
              </m:oMath>
            </m:oMathPara>
          </w:p>
        </w:tc>
        <w:tc>
          <w:tcPr>
            <w:tcW w:w="426" w:type="dxa"/>
          </w:tcPr>
          <w:p w:rsidR="00853DEA" w:rsidRPr="00853DEA" w:rsidRDefault="00853DEA" w:rsidP="00BE317B">
            <w:pPr>
              <w:tabs>
                <w:tab w:val="left" w:pos="1701"/>
                <w:tab w:val="left" w:pos="1985"/>
              </w:tabs>
            </w:pPr>
            <m:oMathPara>
              <m:oMath>
                <m:r>
                  <m:rPr>
                    <m:sty m:val="p"/>
                  </m:rPr>
                  <w:rPr>
                    <w:rFonts w:ascii="Cambria Math" w:hAnsi="Cambria Math"/>
                  </w:rPr>
                  <m:t>→</m:t>
                </m:r>
              </m:oMath>
            </m:oMathPara>
          </w:p>
        </w:tc>
        <w:tc>
          <w:tcPr>
            <w:tcW w:w="3118" w:type="dxa"/>
          </w:tcPr>
          <w:p w:rsidR="00853DEA" w:rsidRPr="00853DEA" w:rsidRDefault="00853DEA" w:rsidP="00BE317B">
            <w:pPr>
              <w:tabs>
                <w:tab w:val="left" w:pos="1701"/>
                <w:tab w:val="left" w:pos="1985"/>
              </w:tabs>
            </w:pPr>
            <w:r w:rsidRPr="00853DEA">
              <w:t xml:space="preserve"> </w:t>
            </w:r>
            <m:oMath>
              <m:sSup>
                <m:sSupPr>
                  <m:ctrlPr>
                    <w:rPr>
                      <w:rFonts w:ascii="Cambria Math" w:hAnsi="Cambria Math"/>
                    </w:rPr>
                  </m:ctrlPr>
                </m:sSupPr>
                <m:e>
                  <m:r>
                    <m:rPr>
                      <m:sty m:val="p"/>
                    </m:rPr>
                    <w:rPr>
                      <w:rFonts w:ascii="Cambria Math" w:hAnsi="Cambria Math"/>
                    </w:rPr>
                    <m:t>Mn</m:t>
                  </m:r>
                </m:e>
                <m:sup>
                  <m:r>
                    <m:rPr>
                      <m:sty m:val="p"/>
                    </m:rPr>
                    <w:rPr>
                      <w:rFonts w:ascii="Cambria Math" w:hAnsi="Cambria Math"/>
                    </w:rPr>
                    <m:t>2+</m:t>
                  </m:r>
                </m:sup>
              </m:sSup>
              <m:r>
                <m:rPr>
                  <m:sty m:val="p"/>
                </m:rPr>
                <w:rPr>
                  <w:rFonts w:ascii="Cambria Math" w:hAnsi="Cambria Math"/>
                </w:rPr>
                <m:t xml:space="preserve">+4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sSub>
            </m:oMath>
          </w:p>
        </w:tc>
        <w:tc>
          <w:tcPr>
            <w:tcW w:w="425" w:type="dxa"/>
          </w:tcPr>
          <w:p w:rsidR="00853DEA" w:rsidRPr="00853DEA" w:rsidRDefault="00853DEA" w:rsidP="00BE317B">
            <w:pPr>
              <w:tabs>
                <w:tab w:val="left" w:pos="1701"/>
                <w:tab w:val="left" w:pos="1985"/>
              </w:tabs>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853DEA" w:rsidRPr="00853DEA" w:rsidTr="00BE317B">
        <w:tc>
          <w:tcPr>
            <w:tcW w:w="1682" w:type="dxa"/>
            <w:tcBorders>
              <w:bottom w:val="single" w:sz="4" w:space="0" w:color="auto"/>
            </w:tcBorders>
          </w:tcPr>
          <w:p w:rsidR="00853DEA" w:rsidRPr="00853DEA" w:rsidRDefault="00853DEA" w:rsidP="00BE317B">
            <w:pPr>
              <w:tabs>
                <w:tab w:val="left" w:pos="1701"/>
                <w:tab w:val="left" w:pos="1985"/>
              </w:tabs>
            </w:pPr>
            <w:r w:rsidRPr="00853DEA">
              <w:t>Oxidation:</w:t>
            </w:r>
          </w:p>
        </w:tc>
        <w:tc>
          <w:tcPr>
            <w:tcW w:w="3421" w:type="dxa"/>
            <w:tcBorders>
              <w:bottom w:val="single" w:sz="4" w:space="0" w:color="auto"/>
            </w:tcBorders>
          </w:tcPr>
          <w:p w:rsidR="00853DEA" w:rsidRPr="00853DEA" w:rsidRDefault="00853DEA" w:rsidP="00BE317B">
            <w:pPr>
              <w:tabs>
                <w:tab w:val="left" w:pos="1701"/>
                <w:tab w:val="left" w:pos="1985"/>
              </w:tabs>
              <w:jc w:val="right"/>
            </w:pPr>
            <w:r w:rsidRPr="00853DEA">
              <w:t>2</w:t>
            </w:r>
            <m:oMath>
              <m:sSup>
                <m:sSupPr>
                  <m:ctrlPr>
                    <w:rPr>
                      <w:rFonts w:ascii="Cambria Math" w:hAnsi="Cambria Math"/>
                    </w:rPr>
                  </m:ctrlPr>
                </m:sSupPr>
                <m:e>
                  <m:r>
                    <m:rPr>
                      <m:sty m:val="p"/>
                    </m:rPr>
                    <w:rPr>
                      <w:rFonts w:ascii="Cambria Math" w:hAnsi="Cambria Math"/>
                    </w:rPr>
                    <m:t>Cl</m:t>
                  </m:r>
                </m:e>
                <m:sup>
                  <m:r>
                    <m:rPr>
                      <m:sty m:val="p"/>
                    </m:rPr>
                    <w:rPr>
                      <w:rFonts w:ascii="Cambria Math" w:hAnsi="Cambria Math"/>
                    </w:rPr>
                    <m:t>-</m:t>
                  </m:r>
                </m:sup>
              </m:sSup>
            </m:oMath>
          </w:p>
        </w:tc>
        <w:tc>
          <w:tcPr>
            <w:tcW w:w="426" w:type="dxa"/>
            <w:tcBorders>
              <w:bottom w:val="single" w:sz="4" w:space="0" w:color="auto"/>
            </w:tcBorders>
          </w:tcPr>
          <w:p w:rsidR="00853DEA" w:rsidRPr="00853DEA" w:rsidRDefault="00853DEA" w:rsidP="00BE317B">
            <w:pPr>
              <w:tabs>
                <w:tab w:val="left" w:pos="1701"/>
                <w:tab w:val="left" w:pos="1985"/>
              </w:tabs>
            </w:pPr>
            <m:oMathPara>
              <m:oMath>
                <m:r>
                  <m:rPr>
                    <m:sty m:val="p"/>
                  </m:rPr>
                  <w:rPr>
                    <w:rFonts w:ascii="Cambria Math" w:hAnsi="Cambria Math"/>
                  </w:rPr>
                  <m:t>→</m:t>
                </m:r>
              </m:oMath>
            </m:oMathPara>
          </w:p>
        </w:tc>
        <w:tc>
          <w:tcPr>
            <w:tcW w:w="3118" w:type="dxa"/>
            <w:tcBorders>
              <w:bottom w:val="single" w:sz="4" w:space="0" w:color="auto"/>
            </w:tcBorders>
          </w:tcPr>
          <w:p w:rsidR="00853DEA" w:rsidRPr="00853DEA" w:rsidRDefault="00853DEA" w:rsidP="00BE317B">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Cl</m:t>
                    </m:r>
                  </m:e>
                  <m:sub>
                    <m:r>
                      <w:rPr>
                        <w:rFonts w:ascii="Cambria Math" w:hAnsi="Cambria Math"/>
                      </w:rPr>
                      <m:t>2</m:t>
                    </m:r>
                  </m:sub>
                </m:sSub>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c>
          <w:tcPr>
            <w:tcW w:w="425" w:type="dxa"/>
            <w:tcBorders>
              <w:bottom w:val="single" w:sz="4" w:space="0" w:color="auto"/>
            </w:tcBorders>
          </w:tcPr>
          <w:p w:rsidR="00853DEA" w:rsidRPr="00853DEA" w:rsidRDefault="00853DEA" w:rsidP="00BE317B">
            <w:pPr>
              <w:tabs>
                <w:tab w:val="left" w:pos="1701"/>
                <w:tab w:val="left" w:pos="1985"/>
              </w:tabs>
              <w:rPr>
                <w:rFonts w:eastAsia="Calibri" w:cs="Arial"/>
              </w:rPr>
            </w:pPr>
            <m:oMathPara>
              <m:oMath>
                <m:d>
                  <m:dPr>
                    <m:begChr m:val="|"/>
                    <m:endChr m:val=""/>
                    <m:ctrlPr>
                      <w:rPr>
                        <w:rFonts w:ascii="Cambria Math" w:eastAsia="Calibri" w:hAnsi="Cambria Math" w:cs="Arial"/>
                        <w:i/>
                      </w:rPr>
                    </m:ctrlPr>
                  </m:dPr>
                  <m:e>
                    <m:r>
                      <w:rPr>
                        <w:rFonts w:ascii="Cambria Math" w:eastAsia="Calibri" w:hAnsi="Cambria Math" w:cs="Arial"/>
                      </w:rPr>
                      <m:t>∙5</m:t>
                    </m:r>
                  </m:e>
                </m:d>
              </m:oMath>
            </m:oMathPara>
          </w:p>
        </w:tc>
      </w:tr>
      <w:tr w:rsidR="00853DEA" w:rsidRPr="00853DEA" w:rsidTr="00BE317B">
        <w:tc>
          <w:tcPr>
            <w:tcW w:w="1682" w:type="dxa"/>
            <w:tcBorders>
              <w:top w:val="single" w:sz="4" w:space="0" w:color="auto"/>
            </w:tcBorders>
          </w:tcPr>
          <w:p w:rsidR="00853DEA" w:rsidRPr="00853DEA" w:rsidRDefault="00853DEA" w:rsidP="00BE317B">
            <w:pPr>
              <w:tabs>
                <w:tab w:val="left" w:pos="1701"/>
                <w:tab w:val="left" w:pos="1985"/>
              </w:tabs>
            </w:pPr>
            <w:r w:rsidRPr="00853DEA">
              <w:t>Redoxreaktion:</w:t>
            </w:r>
          </w:p>
        </w:tc>
        <w:tc>
          <w:tcPr>
            <w:tcW w:w="3421" w:type="dxa"/>
            <w:tcBorders>
              <w:top w:val="single" w:sz="4" w:space="0" w:color="auto"/>
            </w:tcBorders>
          </w:tcPr>
          <w:p w:rsidR="00853DEA" w:rsidRPr="00853DEA" w:rsidRDefault="00853DEA" w:rsidP="00BE317B">
            <w:pPr>
              <w:tabs>
                <w:tab w:val="left" w:pos="1701"/>
                <w:tab w:val="left" w:pos="1985"/>
              </w:tabs>
              <w:jc w:val="right"/>
            </w:pPr>
            <m:oMathPara>
              <m:oMathParaPr>
                <m:jc m:val="right"/>
              </m:oMathParaPr>
              <m:oMath>
                <m:sSubSup>
                  <m:sSubSupPr>
                    <m:ctrlPr>
                      <w:rPr>
                        <w:rFonts w:ascii="Cambria Math" w:hAnsi="Cambria Math"/>
                      </w:rPr>
                    </m:ctrlPr>
                  </m:sSubSupPr>
                  <m:e>
                    <m:r>
                      <m:rPr>
                        <m:sty m:val="p"/>
                      </m:rPr>
                      <w:rPr>
                        <w:rFonts w:ascii="Cambria Math" w:hAnsi="Cambria Math"/>
                      </w:rPr>
                      <m:t>10 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+2 </m:t>
                </m:r>
                <m:sSubSup>
                  <m:sSubSupPr>
                    <m:ctrlPr>
                      <w:rPr>
                        <w:rFonts w:ascii="Cambria Math" w:hAnsi="Cambria Math"/>
                      </w:rPr>
                    </m:ctrlPr>
                  </m:sSubSupPr>
                  <m:e>
                    <m:r>
                      <m:rPr>
                        <m:sty m:val="p"/>
                      </m:rPr>
                      <w:rPr>
                        <w:rFonts w:ascii="Cambria Math" w:hAnsi="Cambria Math"/>
                      </w:rPr>
                      <m:t>MnO</m:t>
                    </m:r>
                  </m:e>
                  <m:sub>
                    <m:r>
                      <m:rPr>
                        <m:sty m:val="p"/>
                      </m:rPr>
                      <w:rPr>
                        <w:rFonts w:ascii="Cambria Math" w:hAnsi="Cambria Math"/>
                      </w:rPr>
                      <m:t>4 (aq)</m:t>
                    </m:r>
                  </m:sub>
                  <m:sup>
                    <m:r>
                      <m:rPr>
                        <m:sty m:val="p"/>
                      </m:rPr>
                      <w:rPr>
                        <w:rFonts w:ascii="Cambria Math" w:hAnsi="Cambria Math"/>
                      </w:rPr>
                      <m:t>-</m:t>
                    </m:r>
                  </m:sup>
                </m:sSubSup>
                <m:r>
                  <m:rPr>
                    <m:sty m:val="p"/>
                  </m:rPr>
                  <w:rPr>
                    <w:rFonts w:ascii="Cambria Math" w:hAnsi="Cambria Math"/>
                  </w:rPr>
                  <m:t xml:space="preserve">+16 </m:t>
                </m:r>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(aq)</m:t>
                    </m:r>
                  </m:sub>
                  <m:sup>
                    <m:r>
                      <m:rPr>
                        <m:sty m:val="p"/>
                      </m:rPr>
                      <w:rPr>
                        <w:rFonts w:ascii="Cambria Math" w:hAnsi="Cambria Math"/>
                      </w:rPr>
                      <m:t>+</m:t>
                    </m:r>
                  </m:sup>
                </m:sSubSup>
              </m:oMath>
            </m:oMathPara>
          </w:p>
        </w:tc>
        <w:tc>
          <w:tcPr>
            <w:tcW w:w="426" w:type="dxa"/>
            <w:tcBorders>
              <w:top w:val="single" w:sz="4" w:space="0" w:color="auto"/>
            </w:tcBorders>
          </w:tcPr>
          <w:p w:rsidR="00853DEA" w:rsidRPr="00853DEA" w:rsidRDefault="00853DEA" w:rsidP="00BE317B">
            <w:pPr>
              <w:tabs>
                <w:tab w:val="left" w:pos="1701"/>
                <w:tab w:val="left" w:pos="1985"/>
              </w:tabs>
            </w:pPr>
            <m:oMathPara>
              <m:oMath>
                <m:r>
                  <m:rPr>
                    <m:sty m:val="p"/>
                  </m:rPr>
                  <w:rPr>
                    <w:rFonts w:ascii="Cambria Math" w:hAnsi="Cambria Math"/>
                  </w:rPr>
                  <m:t>→</m:t>
                </m:r>
              </m:oMath>
            </m:oMathPara>
          </w:p>
        </w:tc>
        <w:tc>
          <w:tcPr>
            <w:tcW w:w="3118" w:type="dxa"/>
            <w:tcBorders>
              <w:top w:val="single" w:sz="4" w:space="0" w:color="auto"/>
            </w:tcBorders>
          </w:tcPr>
          <w:p w:rsidR="00853DEA" w:rsidRPr="00853DEA" w:rsidRDefault="00853DEA" w:rsidP="00BE317B">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5 Cl</m:t>
                    </m:r>
                  </m:e>
                  <m:sub>
                    <m:r>
                      <m:rPr>
                        <m:sty m:val="p"/>
                      </m:rPr>
                      <w:rPr>
                        <w:rFonts w:ascii="Cambria Math" w:hAnsi="Cambria Math"/>
                      </w:rPr>
                      <m:t>2(aq)</m:t>
                    </m:r>
                  </m:sub>
                </m:sSub>
                <m:r>
                  <m:rPr>
                    <m:sty m:val="p"/>
                  </m:rPr>
                  <w:rPr>
                    <w:rFonts w:ascii="Cambria Math" w:hAnsi="Cambria Math"/>
                  </w:rPr>
                  <m:t xml:space="preserve">+2 </m:t>
                </m:r>
                <m:sSubSup>
                  <m:sSubSupPr>
                    <m:ctrlPr>
                      <w:rPr>
                        <w:rFonts w:ascii="Cambria Math" w:hAnsi="Cambria Math"/>
                      </w:rPr>
                    </m:ctrlPr>
                  </m:sSubSupPr>
                  <m:e>
                    <m:r>
                      <m:rPr>
                        <m:sty m:val="p"/>
                      </m:rPr>
                      <w:rPr>
                        <w:rFonts w:ascii="Cambria Math" w:hAnsi="Cambria Math"/>
                      </w:rPr>
                      <m:t>Mn</m:t>
                    </m:r>
                  </m:e>
                  <m:sub>
                    <m:r>
                      <m:rPr>
                        <m:sty m:val="p"/>
                      </m:rPr>
                      <w:rPr>
                        <w:rFonts w:ascii="Cambria Math" w:hAnsi="Cambria Math"/>
                      </w:rPr>
                      <m:t>(aq)</m:t>
                    </m:r>
                  </m:sub>
                  <m:sup>
                    <m:r>
                      <m:rPr>
                        <m:sty m:val="p"/>
                      </m:rPr>
                      <w:rPr>
                        <w:rFonts w:ascii="Cambria Math" w:hAnsi="Cambria Math"/>
                      </w:rPr>
                      <m:t>2+</m:t>
                    </m:r>
                  </m:sup>
                </m:sSubSup>
                <m:r>
                  <m:rPr>
                    <m:sty m:val="p"/>
                  </m:rPr>
                  <w:rPr>
                    <w:rFonts w:ascii="Cambria Math" w:hAnsi="Cambria Math"/>
                  </w:rPr>
                  <m:t xml:space="preserve">+8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tc>
        <w:tc>
          <w:tcPr>
            <w:tcW w:w="425" w:type="dxa"/>
            <w:tcBorders>
              <w:top w:val="single" w:sz="4" w:space="0" w:color="auto"/>
            </w:tcBorders>
          </w:tcPr>
          <w:p w:rsidR="00853DEA" w:rsidRPr="00853DEA" w:rsidRDefault="00853DEA" w:rsidP="00BE317B">
            <w:pPr>
              <w:tabs>
                <w:tab w:val="left" w:pos="1701"/>
                <w:tab w:val="left" w:pos="1985"/>
              </w:tabs>
              <w:rPr>
                <w:rFonts w:eastAsia="Calibri" w:cs="Times New Roman"/>
              </w:rPr>
            </w:pPr>
          </w:p>
        </w:tc>
      </w:tr>
    </w:tbl>
    <w:p w:rsidR="00853DEA" w:rsidRPr="00853DEA" w:rsidRDefault="00853DEA" w:rsidP="00853DEA">
      <w:pPr>
        <w:tabs>
          <w:tab w:val="left" w:pos="1701"/>
          <w:tab w:val="left" w:pos="1985"/>
        </w:tabs>
        <w:spacing w:line="240" w:lineRule="auto"/>
        <w:ind w:left="1980" w:hanging="1980"/>
        <w:rPr>
          <w:sz w:val="2"/>
          <w:szCs w:val="2"/>
        </w:rPr>
      </w:pPr>
    </w:p>
    <w:p w:rsidR="00853DEA" w:rsidRPr="00853DEA" w:rsidRDefault="00853DEA" w:rsidP="00853DEA">
      <w:pPr>
        <w:tabs>
          <w:tab w:val="left" w:pos="1701"/>
          <w:tab w:val="left" w:pos="1985"/>
        </w:tabs>
        <w:ind w:left="1980" w:hanging="1980"/>
      </w:pPr>
      <w:r w:rsidRPr="00853DEA">
        <w:tab/>
      </w:r>
      <w:r w:rsidRPr="00853DEA">
        <w:tab/>
        <w:t xml:space="preserve">Weiterhin kann es zu Nebenreaktionen kommen, wobei die Kalium- und Mangan-Ionen mit den überschüssigen </w:t>
      </w:r>
      <w:proofErr w:type="spellStart"/>
      <w:r w:rsidRPr="00853DEA">
        <w:t>Chloridionen</w:t>
      </w:r>
      <w:proofErr w:type="spellEnd"/>
      <w:r w:rsidRPr="00853DEA">
        <w:t xml:space="preserve"> zu Kaliumchlorid und Manganchlorid reagieren können.</w:t>
      </w:r>
    </w:p>
    <w:tbl>
      <w:tblPr>
        <w:tblStyle w:val="Tabellenraster"/>
        <w:tblpPr w:leftFromText="141" w:rightFromText="141" w:vertAnchor="text" w:horzAnchor="margin" w:tblpXSpec="right"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25"/>
        <w:gridCol w:w="3563"/>
      </w:tblGrid>
      <w:tr w:rsidR="00853DEA" w:rsidRPr="00853DEA" w:rsidTr="00BE317B">
        <w:tc>
          <w:tcPr>
            <w:tcW w:w="2977" w:type="dxa"/>
          </w:tcPr>
          <w:p w:rsidR="00853DEA" w:rsidRPr="00853DEA" w:rsidRDefault="00853DEA" w:rsidP="00BE317B">
            <w:pPr>
              <w:tabs>
                <w:tab w:val="left" w:pos="1701"/>
                <w:tab w:val="left" w:pos="1985"/>
              </w:tabs>
              <w:jc w:val="right"/>
            </w:pPr>
            <m:oMathPara>
              <m:oMathParaPr>
                <m:jc m:val="right"/>
              </m:oMathParaPr>
              <m:oMath>
                <m:sSubSup>
                  <m:sSubSupPr>
                    <m:ctrlPr>
                      <w:rPr>
                        <w:rFonts w:ascii="Cambria Math" w:hAnsi="Cambria Math"/>
                      </w:rPr>
                    </m:ctrlPr>
                  </m:sSubSupPr>
                  <m:e>
                    <m:r>
                      <m:rPr>
                        <m:sty m:val="p"/>
                      </m:rPr>
                      <w:rPr>
                        <w:rFonts w:ascii="Cambria Math" w:hAnsi="Cambria Math"/>
                      </w:rPr>
                      <m:t>Mn</m:t>
                    </m:r>
                  </m:e>
                  <m:sub>
                    <m:r>
                      <m:rPr>
                        <m:sty m:val="p"/>
                      </m:rPr>
                      <w:rPr>
                        <w:rFonts w:ascii="Cambria Math" w:hAnsi="Cambria Math"/>
                      </w:rPr>
                      <m:t>(aq)</m:t>
                    </m:r>
                  </m:sub>
                  <m:sup>
                    <m:r>
                      <m:rPr>
                        <m:sty m:val="p"/>
                      </m:rPr>
                      <w:rPr>
                        <w:rFonts w:ascii="Cambria Math" w:hAnsi="Cambria Math"/>
                      </w:rPr>
                      <m:t>2+</m:t>
                    </m:r>
                  </m:sup>
                </m:sSubSup>
                <m:r>
                  <m:rPr>
                    <m:sty m:val="p"/>
                  </m:rPr>
                  <w:rPr>
                    <w:rFonts w:ascii="Cambria Math" w:hAnsi="Cambria Math"/>
                  </w:rPr>
                  <m:t xml:space="preserve">+2 </m:t>
                </m:r>
                <m:sSubSup>
                  <m:sSubSupPr>
                    <m:ctrlPr>
                      <w:rPr>
                        <w:rFonts w:ascii="Cambria Math" w:hAnsi="Cambria Math"/>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oMath>
            </m:oMathPara>
          </w:p>
        </w:tc>
        <w:tc>
          <w:tcPr>
            <w:tcW w:w="425" w:type="dxa"/>
          </w:tcPr>
          <w:p w:rsidR="00853DEA" w:rsidRPr="00853DEA" w:rsidRDefault="00853DEA" w:rsidP="00BE317B">
            <w:pPr>
              <w:tabs>
                <w:tab w:val="left" w:pos="1701"/>
                <w:tab w:val="left" w:pos="1985"/>
              </w:tabs>
            </w:pPr>
            <m:oMathPara>
              <m:oMath>
                <m:r>
                  <m:rPr>
                    <m:sty m:val="p"/>
                  </m:rPr>
                  <w:rPr>
                    <w:rFonts w:ascii="Cambria Math" w:hAnsi="Cambria Math"/>
                  </w:rPr>
                  <m:t>→</m:t>
                </m:r>
              </m:oMath>
            </m:oMathPara>
          </w:p>
        </w:tc>
        <w:tc>
          <w:tcPr>
            <w:tcW w:w="3563" w:type="dxa"/>
          </w:tcPr>
          <w:p w:rsidR="00853DEA" w:rsidRPr="00853DEA" w:rsidRDefault="00853DEA" w:rsidP="00BE317B">
            <w:pPr>
              <w:tabs>
                <w:tab w:val="left" w:pos="1701"/>
                <w:tab w:val="left" w:pos="1985"/>
              </w:tabs>
            </w:pPr>
            <w:r w:rsidRPr="00853DEA">
              <w:t xml:space="preserve"> </w:t>
            </w:r>
            <m:oMath>
              <m:r>
                <m:rPr>
                  <m:sty m:val="p"/>
                </m:rPr>
                <w:rPr>
                  <w:rFonts w:ascii="Cambria Math" w:hAnsi="Cambria Math"/>
                </w:rPr>
                <m:t>MnC</m:t>
              </m:r>
              <m:sSub>
                <m:sSubPr>
                  <m:ctrlPr>
                    <w:rPr>
                      <w:rFonts w:ascii="Cambria Math" w:hAnsi="Cambria Math"/>
                    </w:rPr>
                  </m:ctrlPr>
                </m:sSubPr>
                <m:e>
                  <m:r>
                    <m:rPr>
                      <m:sty m:val="p"/>
                    </m:rPr>
                    <w:rPr>
                      <w:rFonts w:ascii="Cambria Math" w:hAnsi="Cambria Math"/>
                    </w:rPr>
                    <m:t>l</m:t>
                  </m:r>
                </m:e>
                <m:sub>
                  <m:r>
                    <w:rPr>
                      <w:rFonts w:ascii="Cambria Math" w:hAnsi="Cambria Math"/>
                    </w:rPr>
                    <m:t xml:space="preserve">2 </m:t>
                  </m:r>
                  <m:r>
                    <m:rPr>
                      <m:sty m:val="p"/>
                    </m:rPr>
                    <w:rPr>
                      <w:rFonts w:ascii="Cambria Math" w:hAnsi="Cambria Math"/>
                    </w:rPr>
                    <m:t>(s)</m:t>
                  </m:r>
                </m:sub>
              </m:sSub>
            </m:oMath>
          </w:p>
        </w:tc>
      </w:tr>
      <w:tr w:rsidR="00853DEA" w:rsidRPr="00853DEA" w:rsidTr="00BE317B">
        <w:tc>
          <w:tcPr>
            <w:tcW w:w="2977" w:type="dxa"/>
          </w:tcPr>
          <w:p w:rsidR="00853DEA" w:rsidRPr="00853DEA" w:rsidRDefault="00853DEA" w:rsidP="00BE317B">
            <w:pPr>
              <w:tabs>
                <w:tab w:val="left" w:pos="1701"/>
                <w:tab w:val="left" w:pos="1985"/>
              </w:tabs>
              <w:jc w:val="right"/>
            </w:pPr>
            <m:oMathPara>
              <m:oMathParaPr>
                <m:jc m:val="right"/>
              </m:oMathParaPr>
              <m:oMath>
                <m:sSubSup>
                  <m:sSubSupPr>
                    <m:ctrlPr>
                      <w:rPr>
                        <w:rFonts w:ascii="Cambria Math" w:eastAsiaTheme="minorEastAsia"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(aq)</m:t>
                    </m:r>
                  </m:sub>
                  <m:sup>
                    <m:r>
                      <w:rPr>
                        <w:rFonts w:ascii="Cambria Math" w:eastAsiaTheme="minorEastAsia" w:hAnsi="Cambria Math"/>
                      </w:rPr>
                      <m:t>+</m:t>
                    </m:r>
                  </m:sup>
                </m:sSubSup>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Cl</m:t>
                        </m:r>
                      </m:e>
                      <m:sup>
                        <m:r>
                          <m:rPr>
                            <m:sty m:val="p"/>
                          </m:rPr>
                          <w:rPr>
                            <w:rFonts w:ascii="Cambria Math" w:hAnsi="Cambria Math"/>
                          </w:rPr>
                          <m:t>-</m:t>
                        </m:r>
                      </m:sup>
                    </m:sSup>
                  </m:e>
                  <m:sub>
                    <m:r>
                      <m:rPr>
                        <m:sty m:val="p"/>
                      </m:rPr>
                      <w:rPr>
                        <w:rFonts w:ascii="Cambria Math" w:hAnsi="Cambria Math"/>
                      </w:rPr>
                      <m:t>(aq)</m:t>
                    </m:r>
                  </m:sub>
                </m:sSub>
              </m:oMath>
            </m:oMathPara>
          </w:p>
        </w:tc>
        <w:tc>
          <w:tcPr>
            <w:tcW w:w="425" w:type="dxa"/>
          </w:tcPr>
          <w:p w:rsidR="00853DEA" w:rsidRPr="00853DEA" w:rsidRDefault="00853DEA" w:rsidP="00BE317B">
            <w:pPr>
              <w:tabs>
                <w:tab w:val="left" w:pos="1701"/>
                <w:tab w:val="left" w:pos="1985"/>
              </w:tabs>
            </w:pPr>
            <m:oMathPara>
              <m:oMath>
                <m:r>
                  <m:rPr>
                    <m:sty m:val="p"/>
                  </m:rPr>
                  <w:rPr>
                    <w:rFonts w:ascii="Cambria Math" w:hAnsi="Cambria Math"/>
                  </w:rPr>
                  <m:t>→</m:t>
                </m:r>
              </m:oMath>
            </m:oMathPara>
          </w:p>
        </w:tc>
        <w:tc>
          <w:tcPr>
            <w:tcW w:w="3563" w:type="dxa"/>
          </w:tcPr>
          <w:p w:rsidR="00853DEA" w:rsidRPr="00853DEA" w:rsidRDefault="00853DEA" w:rsidP="00BE317B">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KCl</m:t>
                    </m:r>
                  </m:e>
                  <m:sub>
                    <m:r>
                      <m:rPr>
                        <m:sty m:val="p"/>
                      </m:rPr>
                      <w:rPr>
                        <w:rFonts w:ascii="Cambria Math" w:hAnsi="Cambria Math"/>
                      </w:rPr>
                      <m:t>(s)</m:t>
                    </m:r>
                  </m:sub>
                </m:sSub>
              </m:oMath>
            </m:oMathPara>
          </w:p>
        </w:tc>
      </w:tr>
    </w:tbl>
    <w:p w:rsidR="00853DEA" w:rsidRPr="00853DEA" w:rsidRDefault="00853DEA" w:rsidP="00853DEA">
      <w:pPr>
        <w:tabs>
          <w:tab w:val="left" w:pos="1701"/>
          <w:tab w:val="left" w:pos="1985"/>
        </w:tabs>
        <w:ind w:left="1980" w:hanging="1980"/>
        <w:rPr>
          <w:sz w:val="2"/>
          <w:szCs w:val="2"/>
        </w:rPr>
      </w:pPr>
      <w:r w:rsidRPr="00853DEA">
        <w:tab/>
      </w:r>
      <w:r w:rsidRPr="00853DEA">
        <w:tab/>
      </w:r>
    </w:p>
    <w:p w:rsidR="00853DEA" w:rsidRPr="00853DEA" w:rsidRDefault="00853DEA" w:rsidP="00853DEA">
      <w:pPr>
        <w:tabs>
          <w:tab w:val="left" w:pos="1701"/>
          <w:tab w:val="left" w:pos="1985"/>
        </w:tabs>
        <w:ind w:left="1980" w:hanging="1980"/>
      </w:pPr>
      <w:r w:rsidRPr="00853DEA">
        <w:tab/>
      </w:r>
      <w:r w:rsidRPr="00853DEA">
        <w:tab/>
        <w:t>Diese Nebenreaktionen würde ich allerdings nicht mit den SuS diskutieren, da das zu weit führt und von der eigentlichen Thematik ablenkt.</w:t>
      </w:r>
    </w:p>
    <w:p w:rsidR="00853DEA" w:rsidRPr="00853DEA" w:rsidRDefault="00853DEA" w:rsidP="00853DEA">
      <w:pPr>
        <w:tabs>
          <w:tab w:val="left" w:pos="1701"/>
          <w:tab w:val="left" w:pos="1985"/>
        </w:tabs>
        <w:ind w:left="1980" w:hanging="1980"/>
      </w:pPr>
    </w:p>
    <w:p w:rsidR="00853DEA" w:rsidRPr="00853DEA" w:rsidRDefault="00853DEA" w:rsidP="00853DEA">
      <w:pPr>
        <w:spacing w:line="276" w:lineRule="auto"/>
        <w:ind w:left="1950" w:hanging="1950"/>
        <w:jc w:val="left"/>
      </w:pPr>
      <w:r w:rsidRPr="00853DEA">
        <w:t>Entsorgung:</w:t>
      </w:r>
      <w:r w:rsidRPr="00853DEA">
        <w:tab/>
        <w:t>Das Gemisch wird im Schwermetallbehälter entsorgt.</w:t>
      </w:r>
      <w:r w:rsidRPr="00853DEA">
        <w:tab/>
        <w:t xml:space="preserve"> </w:t>
      </w:r>
    </w:p>
    <w:p w:rsidR="00853DEA" w:rsidRPr="00853DEA" w:rsidRDefault="00853DEA" w:rsidP="00853DEA">
      <w:pPr>
        <w:spacing w:line="276" w:lineRule="auto"/>
        <w:jc w:val="left"/>
        <w:rPr>
          <w:rFonts w:eastAsiaTheme="majorEastAsia" w:cstheme="majorBidi"/>
          <w:b/>
          <w:bCs/>
          <w:sz w:val="28"/>
          <w:szCs w:val="28"/>
        </w:rPr>
      </w:pPr>
      <w:r w:rsidRPr="00853DEA">
        <w:t>Literatur:</w:t>
      </w:r>
      <w:r w:rsidRPr="00853DEA">
        <w:tab/>
      </w:r>
      <w:r w:rsidRPr="00853DEA">
        <w:tab/>
      </w:r>
    </w:p>
    <w:p w:rsidR="00853DEA" w:rsidRPr="00853DEA" w:rsidRDefault="00853DEA" w:rsidP="00853DEA">
      <w:pPr>
        <w:spacing w:line="240" w:lineRule="auto"/>
        <w:jc w:val="left"/>
        <w:rPr>
          <w:lang w:eastAsia="de-DE"/>
        </w:rPr>
      </w:pPr>
      <w:r w:rsidRPr="00853DEA">
        <w:lastRenderedPageBreak/>
        <w:t xml:space="preserve"> [3] K.-U. </w:t>
      </w:r>
      <w:proofErr w:type="spellStart"/>
      <w:r w:rsidRPr="00853DEA">
        <w:t>Jagemann</w:t>
      </w:r>
      <w:proofErr w:type="spellEnd"/>
      <w:r w:rsidRPr="00853DEA">
        <w:t>, http://www.jagemann-net.de/chemie/chemie11/redoxreaktionen/redoxreaktionen.php, 2009-2011, (zuletzt abgerufen am 27.07.2016 um 08:29 Uhr).</w:t>
      </w:r>
      <w:r w:rsidRPr="00853DEA">
        <w:rPr>
          <w:lang w:eastAsia="de-DE"/>
        </w:rPr>
        <w:t xml:space="preserve"> </w:t>
      </w:r>
    </w:p>
    <w:p w:rsidR="00853DEA" w:rsidRPr="00853DEA" w:rsidRDefault="00853DEA" w:rsidP="00853DEA">
      <w:pPr>
        <w:spacing w:line="240" w:lineRule="auto"/>
        <w:jc w:val="left"/>
        <w:rPr>
          <w:lang w:eastAsia="de-DE"/>
        </w:rPr>
      </w:pPr>
      <w:r w:rsidRPr="00853DEA">
        <w:rPr>
          <w:noProof/>
          <w:lang w:eastAsia="de-DE"/>
        </w:rPr>
        <mc:AlternateContent>
          <mc:Choice Requires="wps">
            <w:drawing>
              <wp:inline distT="0" distB="0" distL="0" distR="0" wp14:anchorId="65FC3BC0" wp14:editId="188D3421">
                <wp:extent cx="5760720" cy="1333500"/>
                <wp:effectExtent l="0" t="0" r="11430" b="19050"/>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335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DEA" w:rsidRPr="00DD4FCC" w:rsidRDefault="00853DEA" w:rsidP="00853DEA">
                            <w:pPr>
                              <w:rPr>
                                <w:color w:val="auto"/>
                              </w:rPr>
                            </w:pPr>
                            <w:r>
                              <w:rPr>
                                <w:color w:val="auto"/>
                              </w:rPr>
                              <w:t>Um diesen Versuch durchzuführen, bedarf es eines Reaktionspartners, der Permanganat-Ionen zu Mangan(II)-Ionen reduzieren vermag. Hierbei wurde sich der Chlorid-Ionen bedient, woraus eine geringe Menge Chlorgas resultiert. Da der Versuch unter dem Abzug durchgeführt wird, wird die Gefährdung der SuS minimiert. Alternativen wären z.B. Bromwasserstoff gewesen, was jedoch ein größeres gesundheitliches Risiko darstellt.</w:t>
                            </w:r>
                          </w:p>
                        </w:txbxContent>
                      </wps:txbx>
                      <wps:bodyPr rot="0" vert="horz" wrap="square" lIns="91440" tIns="45720" rIns="91440" bIns="45720" anchor="t" anchorCtr="0" upright="1">
                        <a:noAutofit/>
                      </wps:bodyPr>
                    </wps:wsp>
                  </a:graphicData>
                </a:graphic>
              </wp:inline>
            </w:drawing>
          </mc:Choice>
          <mc:Fallback>
            <w:pict>
              <v:shape w14:anchorId="65FC3BC0" id="Text Box 131" o:spid="_x0000_s1027" type="#_x0000_t202" style="width:453.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" fillcolor="white [3201]" strokecolor="#ed7d31 [3205]" strokeweight="1pt">
                <v:stroke dashstyle="dash"/>
                <v:shadow color="#868686"/>
                <v:textbox>
                  <w:txbxContent>
                    <w:p w:rsidR="00853DEA" w:rsidRPr="00DD4FCC" w:rsidRDefault="00853DEA" w:rsidP="00853DEA">
                      <w:pPr>
                        <w:rPr>
                          <w:color w:val="auto"/>
                        </w:rPr>
                      </w:pPr>
                      <w:r>
                        <w:rPr>
                          <w:color w:val="auto"/>
                        </w:rPr>
                        <w:t>Um diesen Versuch durchzuführen, bedarf es eines Reaktionspartners, der Permanganat-Ionen zu Mangan(II)-Ionen reduzieren vermag. Hierbei wurde sich der Chlorid-Ionen bedient, woraus eine geringe Menge Chlorgas resultiert. Da der Versuch unter dem Abzug durchgeführt wird, wird die Gefährdung der SuS minimiert. Alternativen wären z.B. Bromwasserstoff gewesen, was jedoch ein größeres gesundheitliches Risiko darstellt.</w:t>
                      </w:r>
                    </w:p>
                  </w:txbxContent>
                </v:textbox>
                <w10:anchorlock/>
              </v:shape>
            </w:pict>
          </mc:Fallback>
        </mc:AlternateContent>
      </w:r>
    </w:p>
    <w:p w:rsidR="0008007A" w:rsidRPr="00853DEA" w:rsidRDefault="0008007A"/>
    <w:sectPr w:rsidR="0008007A" w:rsidRPr="00853DEA"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EA"/>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3DE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E906"/>
  <w15:chartTrackingRefBased/>
  <w15:docId w15:val="{A84F6B64-14B4-46B9-A610-6FCAB2CD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53DE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53DE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53DE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53DE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53DE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53DE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53DE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53DE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3DE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3DE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DE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53DE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53DE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53DE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53DE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53DE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53DE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53DE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53DE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53DEA"/>
    <w:pPr>
      <w:spacing w:line="240" w:lineRule="auto"/>
    </w:pPr>
    <w:rPr>
      <w:bCs/>
      <w:color w:val="auto"/>
      <w:sz w:val="18"/>
      <w:szCs w:val="18"/>
    </w:rPr>
  </w:style>
  <w:style w:type="table" w:styleId="Tabellenraster">
    <w:name w:val="Table Grid"/>
    <w:basedOn w:val="NormaleTabelle"/>
    <w:uiPriority w:val="59"/>
    <w:rsid w:val="0085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2016-08-09T14:33:00Z</dcterms:created>
  <dcterms:modified xsi:type="dcterms:W3CDTF">2016-08-09T14:35:00Z</dcterms:modified>
</cp:coreProperties>
</file>