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F3F" w:rsidRPr="00FD32C4" w:rsidRDefault="00980F3F" w:rsidP="00980F3F">
      <w:pPr>
        <w:pStyle w:val="berschrift2"/>
        <w:numPr>
          <w:ilvl w:val="1"/>
          <w:numId w:val="2"/>
        </w:numPr>
        <w:spacing w:before="200" w:after="200"/>
      </w:pPr>
      <w:bookmarkStart w:id="0" w:name="_Toc457933838"/>
      <w:r w:rsidRPr="00FD32C4">
        <w:rPr>
          <w:noProof/>
          <w:lang w:eastAsia="de-DE"/>
        </w:rPr>
        <mc:AlternateContent>
          <mc:Choice Requires="wps">
            <w:drawing>
              <wp:anchor distT="0" distB="0" distL="114300" distR="114300" simplePos="0" relativeHeight="251659264" behindDoc="0" locked="0" layoutInCell="1" allowOverlap="1" wp14:anchorId="58700EC2" wp14:editId="5DF2FE7E">
                <wp:simplePos x="0" y="0"/>
                <wp:positionH relativeFrom="margin">
                  <wp:align>left</wp:align>
                </wp:positionH>
                <wp:positionV relativeFrom="paragraph">
                  <wp:posOffset>250825</wp:posOffset>
                </wp:positionV>
                <wp:extent cx="5873115" cy="1257300"/>
                <wp:effectExtent l="0" t="0" r="13335" b="19050"/>
                <wp:wrapSquare wrapText="bothSides"/>
                <wp:docPr id="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573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80F3F" w:rsidRDefault="00980F3F" w:rsidP="00980F3F">
                            <w:pPr>
                              <w:contextualSpacing/>
                              <w:rPr>
                                <w:color w:val="auto"/>
                              </w:rPr>
                            </w:pPr>
                            <w:r>
                              <w:rPr>
                                <w:color w:val="auto"/>
                              </w:rPr>
                              <w:t>In diesem Versuch wird die Dichte des Sauerstoffs überprüft und als weitere stoffspezifische Eigenschaft zur Unterscheidung von Stoffen. Außerdem wird der klassische Sauerstoffnachweis über die Glimmspanprobe thematisiert.</w:t>
                            </w:r>
                          </w:p>
                          <w:p w:rsidR="00980F3F" w:rsidRPr="00F31EBF" w:rsidRDefault="00980F3F" w:rsidP="00980F3F">
                            <w:pPr>
                              <w:contextualSpacing/>
                              <w:rPr>
                                <w:color w:val="auto"/>
                              </w:rPr>
                            </w:pPr>
                            <w:r>
                              <w:rPr>
                                <w:color w:val="auto"/>
                              </w:rPr>
                              <w:t>Die SuS kennen bereits stoffspezifische Eigenschaften und haben den Begriff der Dichte, sowie die Berechnung schon kennengelernt.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700EC2" id="_x0000_t202" coordsize="21600,21600" o:spt="202" path="m,l,21600r21600,l21600,xe">
                <v:stroke joinstyle="miter"/>
                <v:path gradientshapeok="t" o:connecttype="rect"/>
              </v:shapetype>
              <v:shape id="Text Box 138" o:spid="_x0000_s1026" type="#_x0000_t202" style="position:absolute;left:0;text-align:left;margin-left:0;margin-top:19.75pt;width:462.45pt;height:9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" fillcolor="white [3201]" strokecolor="#4472c4 [3208]" strokeweight="1pt">
                <v:stroke dashstyle="dash"/>
                <v:shadow color="#868686"/>
                <v:textbox>
                  <w:txbxContent>
                    <w:p w:rsidR="00980F3F" w:rsidRDefault="00980F3F" w:rsidP="00980F3F">
                      <w:pPr>
                        <w:contextualSpacing/>
                        <w:rPr>
                          <w:color w:val="auto"/>
                        </w:rPr>
                      </w:pPr>
                      <w:r>
                        <w:rPr>
                          <w:color w:val="auto"/>
                        </w:rPr>
                        <w:t>In diesem Versuch wird die Dichte des Sauerstoffs überprüft und als weitere stoffspezifische Eigenschaft zur Unterscheidung von Stoffen. Außerdem wird der klassische Sauerstoffnachweis über die Glimmspanprobe thematisiert.</w:t>
                      </w:r>
                    </w:p>
                    <w:p w:rsidR="00980F3F" w:rsidRPr="00F31EBF" w:rsidRDefault="00980F3F" w:rsidP="00980F3F">
                      <w:pPr>
                        <w:contextualSpacing/>
                        <w:rPr>
                          <w:color w:val="auto"/>
                        </w:rPr>
                      </w:pPr>
                      <w:r>
                        <w:rPr>
                          <w:color w:val="auto"/>
                        </w:rPr>
                        <w:t>Die SuS kennen bereits stoffspezifische Eigenschaften und haben den Begriff der Dichte, sowie die Berechnung schon kennengelernt.</w:t>
                      </w:r>
                    </w:p>
                  </w:txbxContent>
                </v:textbox>
                <w10:wrap type="square" anchorx="margin"/>
              </v:shape>
            </w:pict>
          </mc:Fallback>
        </mc:AlternateContent>
      </w:r>
      <w:r w:rsidRPr="00FD32C4">
        <w:t>V4 Dichte von Sauerstoff und Glimmspanprobe</w:t>
      </w:r>
      <w:bookmarkEnd w:id="0"/>
    </w:p>
    <w:p w:rsidR="00980F3F" w:rsidRPr="00FD32C4" w:rsidRDefault="00980F3F" w:rsidP="00980F3F">
      <w:pPr>
        <w:rPr>
          <w:rFonts w:asciiTheme="majorHAnsi" w:hAnsiTheme="maj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80F3F" w:rsidRPr="00FD32C4" w:rsidTr="000B072C">
        <w:tc>
          <w:tcPr>
            <w:tcW w:w="9322" w:type="dxa"/>
            <w:gridSpan w:val="9"/>
            <w:shd w:val="clear" w:color="auto" w:fill="4F81BD"/>
            <w:vAlign w:val="center"/>
          </w:tcPr>
          <w:p w:rsidR="00980F3F" w:rsidRPr="00FD32C4" w:rsidRDefault="00980F3F" w:rsidP="000B072C">
            <w:pPr>
              <w:spacing w:after="0"/>
              <w:rPr>
                <w:rFonts w:asciiTheme="majorHAnsi" w:hAnsiTheme="majorHAnsi"/>
                <w:b/>
                <w:bCs/>
                <w:color w:val="FFFFFF" w:themeColor="background1"/>
              </w:rPr>
            </w:pPr>
            <w:r w:rsidRPr="00FD32C4">
              <w:rPr>
                <w:rFonts w:asciiTheme="majorHAnsi" w:hAnsiTheme="majorHAnsi"/>
                <w:b/>
                <w:bCs/>
                <w:color w:val="FFFFFF" w:themeColor="background1"/>
              </w:rPr>
              <w:t>Gefahrenstoffe</w:t>
            </w:r>
          </w:p>
        </w:tc>
      </w:tr>
      <w:tr w:rsidR="00980F3F" w:rsidRPr="00FD32C4"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80F3F" w:rsidRPr="00FD32C4" w:rsidRDefault="00980F3F" w:rsidP="000B072C">
            <w:pPr>
              <w:spacing w:after="0"/>
              <w:rPr>
                <w:rFonts w:asciiTheme="majorHAnsi" w:hAnsiTheme="majorHAnsi"/>
                <w:b/>
                <w:bCs/>
              </w:rPr>
            </w:pPr>
            <w:r w:rsidRPr="00FD32C4">
              <w:rPr>
                <w:rFonts w:asciiTheme="majorHAnsi" w:hAnsiTheme="majorHAnsi"/>
                <w:sz w:val="20"/>
              </w:rPr>
              <w:t>Sauerstoff</w:t>
            </w:r>
          </w:p>
        </w:tc>
        <w:tc>
          <w:tcPr>
            <w:tcW w:w="3177" w:type="dxa"/>
            <w:gridSpan w:val="3"/>
            <w:tcBorders>
              <w:top w:val="single" w:sz="8" w:space="0" w:color="4F81BD"/>
              <w:bottom w:val="single" w:sz="8" w:space="0" w:color="4F81BD"/>
            </w:tcBorders>
            <w:shd w:val="clear" w:color="auto" w:fill="auto"/>
            <w:vAlign w:val="center"/>
          </w:tcPr>
          <w:p w:rsidR="00980F3F" w:rsidRPr="00FD32C4" w:rsidRDefault="00980F3F" w:rsidP="000B072C">
            <w:pPr>
              <w:spacing w:after="0"/>
              <w:rPr>
                <w:rFonts w:asciiTheme="majorHAnsi" w:hAnsiTheme="majorHAnsi"/>
              </w:rPr>
            </w:pPr>
            <w:r w:rsidRPr="00FD32C4">
              <w:rPr>
                <w:rFonts w:asciiTheme="majorHAnsi" w:hAnsiTheme="majorHAnsi"/>
                <w:sz w:val="20"/>
              </w:rPr>
              <w:t xml:space="preserve">H: </w:t>
            </w:r>
            <w:r w:rsidRPr="00FD32C4">
              <w:rPr>
                <w:rFonts w:asciiTheme="majorHAnsi" w:hAnsiTheme="majorHAnsi"/>
              </w:rPr>
              <w:t>270-280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80F3F" w:rsidRPr="00FD32C4" w:rsidRDefault="00980F3F" w:rsidP="000B072C">
            <w:pPr>
              <w:spacing w:after="0"/>
              <w:rPr>
                <w:rFonts w:asciiTheme="majorHAnsi" w:hAnsiTheme="majorHAnsi"/>
              </w:rPr>
            </w:pPr>
            <w:r w:rsidRPr="00FD32C4">
              <w:rPr>
                <w:rFonts w:asciiTheme="majorHAnsi" w:hAnsiTheme="majorHAnsi"/>
                <w:sz w:val="20"/>
              </w:rPr>
              <w:t>P: 244-220-370+376-403</w:t>
            </w:r>
          </w:p>
        </w:tc>
      </w:tr>
      <w:tr w:rsidR="00980F3F" w:rsidRPr="00FD32C4" w:rsidTr="000B072C">
        <w:tc>
          <w:tcPr>
            <w:tcW w:w="1009" w:type="dxa"/>
            <w:tcBorders>
              <w:top w:val="single" w:sz="8" w:space="0" w:color="4F81BD"/>
              <w:left w:val="single" w:sz="8" w:space="0" w:color="4F81BD"/>
              <w:bottom w:val="single" w:sz="8" w:space="0" w:color="4F81BD"/>
            </w:tcBorders>
            <w:shd w:val="clear" w:color="auto" w:fill="auto"/>
            <w:vAlign w:val="center"/>
          </w:tcPr>
          <w:p w:rsidR="00980F3F" w:rsidRPr="00FD32C4" w:rsidRDefault="00980F3F" w:rsidP="000B072C">
            <w:pPr>
              <w:spacing w:after="0"/>
              <w:rPr>
                <w:rFonts w:asciiTheme="majorHAnsi" w:hAnsiTheme="majorHAnsi"/>
                <w:b/>
                <w:bCs/>
              </w:rPr>
            </w:pPr>
            <w:r w:rsidRPr="00FD32C4">
              <w:rPr>
                <w:rFonts w:asciiTheme="majorHAnsi" w:hAnsiTheme="majorHAnsi"/>
                <w:b/>
                <w:noProof/>
                <w:lang w:eastAsia="de-DE"/>
              </w:rPr>
              <w:drawing>
                <wp:inline distT="0" distB="0" distL="0" distR="0" wp14:anchorId="4E1A15B1" wp14:editId="59BF130C">
                  <wp:extent cx="504190" cy="50419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0F3F" w:rsidRPr="00FD32C4" w:rsidRDefault="00980F3F" w:rsidP="000B072C">
            <w:pPr>
              <w:spacing w:after="0"/>
              <w:rPr>
                <w:rFonts w:asciiTheme="majorHAnsi" w:hAnsiTheme="majorHAnsi"/>
              </w:rPr>
            </w:pPr>
            <w:r w:rsidRPr="00FD32C4">
              <w:rPr>
                <w:rFonts w:asciiTheme="majorHAnsi" w:hAnsiTheme="majorHAnsi"/>
                <w:noProof/>
                <w:lang w:eastAsia="de-DE"/>
              </w:rPr>
              <w:drawing>
                <wp:inline distT="0" distB="0" distL="0" distR="0" wp14:anchorId="124A94D8" wp14:editId="523CE202">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0F3F" w:rsidRPr="00FD32C4" w:rsidRDefault="00980F3F" w:rsidP="000B072C">
            <w:pPr>
              <w:spacing w:after="0"/>
              <w:rPr>
                <w:rFonts w:asciiTheme="majorHAnsi" w:hAnsiTheme="majorHAnsi"/>
              </w:rPr>
            </w:pPr>
            <w:r w:rsidRPr="00FD32C4">
              <w:rPr>
                <w:rFonts w:asciiTheme="majorHAnsi" w:hAnsiTheme="majorHAnsi"/>
                <w:noProof/>
                <w:lang w:eastAsia="de-DE"/>
              </w:rPr>
              <w:drawing>
                <wp:inline distT="0" distB="0" distL="0" distR="0" wp14:anchorId="04B741C5" wp14:editId="0562CA48">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0F3F" w:rsidRPr="00FD32C4" w:rsidRDefault="00980F3F" w:rsidP="000B072C">
            <w:pPr>
              <w:spacing w:after="0"/>
              <w:rPr>
                <w:rFonts w:asciiTheme="majorHAnsi" w:hAnsiTheme="majorHAnsi"/>
              </w:rPr>
            </w:pPr>
            <w:r w:rsidRPr="00FD32C4">
              <w:rPr>
                <w:rFonts w:asciiTheme="majorHAnsi" w:hAnsiTheme="majorHAnsi"/>
                <w:noProof/>
                <w:lang w:eastAsia="de-DE"/>
              </w:rPr>
              <w:drawing>
                <wp:inline distT="0" distB="0" distL="0" distR="0" wp14:anchorId="39F6E9F9" wp14:editId="507AC9AD">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80F3F" w:rsidRPr="00FD32C4" w:rsidRDefault="00980F3F" w:rsidP="000B072C">
            <w:pPr>
              <w:spacing w:after="0"/>
              <w:rPr>
                <w:rFonts w:asciiTheme="majorHAnsi" w:hAnsiTheme="majorHAnsi"/>
              </w:rPr>
            </w:pPr>
            <w:r w:rsidRPr="00FD32C4">
              <w:rPr>
                <w:rFonts w:asciiTheme="majorHAnsi" w:hAnsiTheme="majorHAnsi"/>
                <w:noProof/>
                <w:lang w:eastAsia="de-DE"/>
              </w:rPr>
              <w:drawing>
                <wp:inline distT="0" distB="0" distL="0" distR="0" wp14:anchorId="1197D1FC" wp14:editId="085F65C0">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80F3F" w:rsidRPr="00FD32C4" w:rsidRDefault="00980F3F" w:rsidP="000B072C">
            <w:pPr>
              <w:spacing w:after="0"/>
              <w:rPr>
                <w:rFonts w:asciiTheme="majorHAnsi" w:hAnsiTheme="majorHAnsi"/>
              </w:rPr>
            </w:pPr>
            <w:r w:rsidRPr="00FD32C4">
              <w:rPr>
                <w:rFonts w:asciiTheme="majorHAnsi" w:hAnsiTheme="majorHAnsi"/>
                <w:noProof/>
                <w:lang w:eastAsia="de-DE"/>
              </w:rPr>
              <w:drawing>
                <wp:inline distT="0" distB="0" distL="0" distR="0" wp14:anchorId="4ECF28E0" wp14:editId="7C600711">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80F3F" w:rsidRPr="00FD32C4" w:rsidRDefault="00980F3F" w:rsidP="000B072C">
            <w:pPr>
              <w:spacing w:after="0"/>
              <w:rPr>
                <w:rFonts w:asciiTheme="majorHAnsi" w:hAnsiTheme="majorHAnsi"/>
              </w:rPr>
            </w:pPr>
            <w:r w:rsidRPr="00FD32C4">
              <w:rPr>
                <w:rFonts w:asciiTheme="majorHAnsi" w:hAnsiTheme="majorHAnsi"/>
                <w:noProof/>
                <w:lang w:eastAsia="de-DE"/>
              </w:rPr>
              <w:drawing>
                <wp:inline distT="0" distB="0" distL="0" distR="0" wp14:anchorId="0AFC1462" wp14:editId="03A6BB29">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0F3F" w:rsidRPr="00FD32C4" w:rsidRDefault="00980F3F" w:rsidP="000B072C">
            <w:pPr>
              <w:spacing w:after="0"/>
              <w:rPr>
                <w:rFonts w:asciiTheme="majorHAnsi" w:hAnsiTheme="majorHAnsi"/>
              </w:rPr>
            </w:pPr>
            <w:r w:rsidRPr="00FD32C4">
              <w:rPr>
                <w:rFonts w:asciiTheme="majorHAnsi" w:hAnsiTheme="majorHAnsi"/>
                <w:noProof/>
                <w:lang w:eastAsia="de-DE"/>
              </w:rPr>
              <w:drawing>
                <wp:inline distT="0" distB="0" distL="0" distR="0" wp14:anchorId="2E66D948" wp14:editId="3AAA5A46">
                  <wp:extent cx="511175" cy="511175"/>
                  <wp:effectExtent l="0" t="0" r="3175" b="3175"/>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80F3F" w:rsidRPr="00FD32C4" w:rsidRDefault="00980F3F" w:rsidP="000B072C">
            <w:pPr>
              <w:spacing w:after="0"/>
              <w:rPr>
                <w:rFonts w:asciiTheme="majorHAnsi" w:hAnsiTheme="majorHAnsi"/>
              </w:rPr>
            </w:pPr>
            <w:r w:rsidRPr="00FD32C4">
              <w:rPr>
                <w:rFonts w:asciiTheme="majorHAnsi" w:hAnsiTheme="majorHAnsi"/>
                <w:noProof/>
                <w:lang w:eastAsia="de-DE"/>
              </w:rPr>
              <w:drawing>
                <wp:inline distT="0" distB="0" distL="0" distR="0" wp14:anchorId="34561555" wp14:editId="657D38EA">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80F3F" w:rsidRPr="00FD32C4" w:rsidRDefault="00980F3F" w:rsidP="00980F3F">
      <w:pPr>
        <w:tabs>
          <w:tab w:val="left" w:pos="1701"/>
          <w:tab w:val="left" w:pos="1985"/>
        </w:tabs>
        <w:ind w:left="1980" w:hanging="1980"/>
        <w:rPr>
          <w:rFonts w:asciiTheme="majorHAnsi" w:hAnsiTheme="majorHAnsi"/>
        </w:rPr>
      </w:pPr>
    </w:p>
    <w:p w:rsidR="00980F3F" w:rsidRPr="00FD32C4" w:rsidRDefault="00980F3F" w:rsidP="00980F3F">
      <w:pPr>
        <w:tabs>
          <w:tab w:val="left" w:pos="1701"/>
          <w:tab w:val="left" w:pos="1985"/>
        </w:tabs>
        <w:ind w:left="1980" w:hanging="1980"/>
        <w:rPr>
          <w:rFonts w:asciiTheme="majorHAnsi" w:hAnsiTheme="majorHAnsi"/>
        </w:rPr>
      </w:pPr>
      <w:r w:rsidRPr="00FD32C4">
        <w:rPr>
          <w:rFonts w:asciiTheme="majorHAnsi" w:hAnsiTheme="majorHAnsi"/>
        </w:rPr>
        <w:t xml:space="preserve">Materialien: </w:t>
      </w:r>
      <w:r w:rsidRPr="00FD32C4">
        <w:rPr>
          <w:rFonts w:asciiTheme="majorHAnsi" w:hAnsiTheme="majorHAnsi"/>
        </w:rPr>
        <w:tab/>
      </w:r>
      <w:r w:rsidRPr="00FD32C4">
        <w:rPr>
          <w:rFonts w:asciiTheme="majorHAnsi" w:hAnsiTheme="majorHAnsi"/>
        </w:rPr>
        <w:tab/>
        <w:t>Reagenzgläser (</w:t>
      </w:r>
      <m:oMath>
        <m:r>
          <w:rPr>
            <w:rFonts w:ascii="Cambria Math" w:hAnsi="Cambria Math"/>
          </w:rPr>
          <m:t xml:space="preserve">∅=24 </m:t>
        </m:r>
        <m:r>
          <m:rPr>
            <m:sty m:val="p"/>
          </m:rPr>
          <w:rPr>
            <w:rFonts w:ascii="Cambria Math" w:hAnsi="Cambria Math"/>
          </w:rPr>
          <m:t>mm</m:t>
        </m:r>
      </m:oMath>
      <w:r w:rsidRPr="00FD32C4">
        <w:rPr>
          <w:rFonts w:asciiTheme="majorHAnsi" w:hAnsiTheme="majorHAnsi"/>
        </w:rPr>
        <w:t>), Stopfen, pneumatische Wanne, Stativmaterial, Glimmspan</w:t>
      </w:r>
    </w:p>
    <w:p w:rsidR="00980F3F" w:rsidRPr="00FD32C4" w:rsidRDefault="00980F3F" w:rsidP="00980F3F">
      <w:pPr>
        <w:tabs>
          <w:tab w:val="left" w:pos="1701"/>
          <w:tab w:val="left" w:pos="1985"/>
        </w:tabs>
        <w:ind w:left="1980" w:hanging="1980"/>
        <w:rPr>
          <w:rFonts w:asciiTheme="majorHAnsi" w:hAnsiTheme="majorHAnsi"/>
        </w:rPr>
      </w:pPr>
      <w:r w:rsidRPr="00FD32C4">
        <w:rPr>
          <w:rFonts w:asciiTheme="majorHAnsi" w:hAnsiTheme="majorHAnsi"/>
        </w:rPr>
        <w:t>Chemikalien:</w:t>
      </w:r>
      <w:r w:rsidRPr="00FD32C4">
        <w:rPr>
          <w:rFonts w:asciiTheme="majorHAnsi" w:hAnsiTheme="majorHAnsi"/>
        </w:rPr>
        <w:tab/>
      </w:r>
      <w:r w:rsidRPr="00FD32C4">
        <w:rPr>
          <w:rFonts w:asciiTheme="majorHAnsi" w:hAnsiTheme="majorHAnsi"/>
        </w:rPr>
        <w:tab/>
        <w:t>Sauerstoff</w:t>
      </w:r>
    </w:p>
    <w:p w:rsidR="00980F3F" w:rsidRPr="00FD32C4" w:rsidRDefault="00980F3F" w:rsidP="00980F3F">
      <w:pPr>
        <w:tabs>
          <w:tab w:val="left" w:pos="1701"/>
          <w:tab w:val="left" w:pos="1985"/>
        </w:tabs>
        <w:ind w:left="1980" w:hanging="1980"/>
        <w:rPr>
          <w:rFonts w:asciiTheme="majorHAnsi" w:hAnsiTheme="majorHAnsi"/>
        </w:rPr>
      </w:pPr>
      <w:r w:rsidRPr="00FD32C4">
        <w:rPr>
          <w:rFonts w:asciiTheme="majorHAnsi" w:hAnsiTheme="majorHAnsi"/>
        </w:rPr>
        <w:t xml:space="preserve">Durchführung: </w:t>
      </w:r>
      <w:r w:rsidRPr="00FD32C4">
        <w:rPr>
          <w:rFonts w:asciiTheme="majorHAnsi" w:hAnsiTheme="majorHAnsi"/>
        </w:rPr>
        <w:tab/>
      </w:r>
      <w:r w:rsidRPr="00FD32C4">
        <w:rPr>
          <w:rFonts w:asciiTheme="majorHAnsi" w:hAnsiTheme="majorHAnsi"/>
        </w:rPr>
        <w:tab/>
      </w:r>
      <w:r w:rsidRPr="00FD32C4">
        <w:rPr>
          <w:rFonts w:asciiTheme="majorHAnsi" w:hAnsiTheme="majorHAnsi"/>
        </w:rPr>
        <w:tab/>
        <w:t>Beide Reagenzgläser werden pneumatisch mit Sauerstoff gefüllt und mit einem passenden Stopfen verschlossen. Ein Reagenzglas wird mit der Öffnung nach oben, das andere mit der Öffnung nach unten eingespannt. Der Glimmspan wird beim Entfernen des Stopfens nah an die Öffnung gebracht. Nach etwa 15 Sekunden wird der Glimmspan in die Reagenzgläser geführt.</w:t>
      </w:r>
    </w:p>
    <w:p w:rsidR="00980F3F" w:rsidRPr="00FD32C4" w:rsidRDefault="00980F3F" w:rsidP="00980F3F">
      <w:pPr>
        <w:tabs>
          <w:tab w:val="left" w:pos="1701"/>
          <w:tab w:val="left" w:pos="1985"/>
        </w:tabs>
        <w:ind w:left="1980" w:hanging="1980"/>
        <w:rPr>
          <w:rFonts w:asciiTheme="majorHAnsi" w:hAnsiTheme="majorHAnsi"/>
        </w:rPr>
      </w:pPr>
      <w:r w:rsidRPr="00FD32C4">
        <w:rPr>
          <w:rFonts w:asciiTheme="majorHAnsi" w:hAnsiTheme="majorHAnsi"/>
        </w:rPr>
        <w:t>Beobachtung:</w:t>
      </w:r>
      <w:r w:rsidRPr="00FD32C4">
        <w:rPr>
          <w:rFonts w:asciiTheme="majorHAnsi" w:hAnsiTheme="majorHAnsi"/>
        </w:rPr>
        <w:tab/>
      </w:r>
      <w:r w:rsidRPr="00FD32C4">
        <w:rPr>
          <w:rFonts w:asciiTheme="majorHAnsi" w:hAnsiTheme="majorHAnsi"/>
        </w:rPr>
        <w:tab/>
      </w:r>
      <w:r w:rsidRPr="00FD32C4">
        <w:rPr>
          <w:rFonts w:asciiTheme="majorHAnsi" w:hAnsiTheme="majorHAnsi"/>
        </w:rPr>
        <w:tab/>
        <w:t xml:space="preserve">Der Glimmspan, der über der Öffnung des Reagenzglases platziert wird, bleibt unverändert. Der andere Glimmspan flammt auf. </w:t>
      </w:r>
    </w:p>
    <w:p w:rsidR="00980F3F" w:rsidRPr="00FD32C4" w:rsidRDefault="00980F3F" w:rsidP="00980F3F">
      <w:pPr>
        <w:tabs>
          <w:tab w:val="left" w:pos="1701"/>
          <w:tab w:val="left" w:pos="1985"/>
        </w:tabs>
        <w:ind w:left="1980" w:hanging="1980"/>
        <w:rPr>
          <w:rFonts w:asciiTheme="majorHAnsi" w:hAnsiTheme="majorHAnsi"/>
        </w:rPr>
      </w:pPr>
      <w:r w:rsidRPr="00FD32C4">
        <w:rPr>
          <w:rFonts w:asciiTheme="majorHAnsi" w:hAnsiTheme="majorHAnsi"/>
        </w:rPr>
        <w:tab/>
      </w:r>
      <w:r w:rsidRPr="00FD32C4">
        <w:rPr>
          <w:rFonts w:asciiTheme="majorHAnsi" w:hAnsiTheme="majorHAnsi"/>
        </w:rPr>
        <w:tab/>
        <w:t>Werden die Glimmspäne in die Reagenzgläser geführt, so flammt der Glimmspan im Reagenzglas mit der Öffnung nach oben auf, der andere glimmt etwas auf.</w:t>
      </w:r>
    </w:p>
    <w:p w:rsidR="00980F3F" w:rsidRPr="00FD32C4" w:rsidRDefault="00980F3F" w:rsidP="00980F3F">
      <w:pPr>
        <w:keepNext/>
        <w:tabs>
          <w:tab w:val="left" w:pos="1701"/>
          <w:tab w:val="left" w:pos="1985"/>
        </w:tabs>
        <w:ind w:left="1980" w:hanging="1980"/>
        <w:jc w:val="center"/>
        <w:rPr>
          <w:rFonts w:asciiTheme="majorHAnsi" w:hAnsiTheme="majorHAnsi"/>
        </w:rPr>
      </w:pPr>
      <w:r w:rsidRPr="00FD32C4">
        <w:rPr>
          <w:rFonts w:asciiTheme="majorHAnsi" w:hAnsiTheme="majorHAnsi"/>
          <w:noProof/>
          <w:lang w:eastAsia="de-DE"/>
        </w:rPr>
        <w:lastRenderedPageBreak/>
        <w:drawing>
          <wp:inline distT="0" distB="0" distL="0" distR="0" wp14:anchorId="0FFD5D73" wp14:editId="05F6C299">
            <wp:extent cx="4112397" cy="2101094"/>
            <wp:effectExtent l="0" t="0" r="2540" b="0"/>
            <wp:docPr id="6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4112397" cy="2101094"/>
                    </a:xfrm>
                    <a:prstGeom prst="rect">
                      <a:avLst/>
                    </a:prstGeom>
                    <a:noFill/>
                    <a:ln w="9525">
                      <a:noFill/>
                      <a:miter lim="800000"/>
                      <a:headEnd/>
                      <a:tailEnd/>
                    </a:ln>
                  </pic:spPr>
                </pic:pic>
              </a:graphicData>
            </a:graphic>
          </wp:inline>
        </w:drawing>
      </w:r>
    </w:p>
    <w:p w:rsidR="00980F3F" w:rsidRPr="00FD32C4" w:rsidRDefault="00980F3F" w:rsidP="00980F3F">
      <w:pPr>
        <w:pStyle w:val="Beschriftung"/>
        <w:spacing w:line="360" w:lineRule="auto"/>
        <w:jc w:val="center"/>
        <w:rPr>
          <w:rFonts w:asciiTheme="majorHAnsi" w:hAnsiTheme="majorHAnsi"/>
        </w:rPr>
      </w:pPr>
      <w:r w:rsidRPr="00FD32C4">
        <w:rPr>
          <w:rFonts w:asciiTheme="majorHAnsi" w:hAnsiTheme="majorHAnsi"/>
        </w:rPr>
        <w:t xml:space="preserve">Abb. </w:t>
      </w:r>
      <w:r w:rsidRPr="00FD32C4">
        <w:rPr>
          <w:rFonts w:asciiTheme="majorHAnsi" w:hAnsiTheme="majorHAnsi"/>
        </w:rPr>
        <w:fldChar w:fldCharType="begin"/>
      </w:r>
      <w:r w:rsidRPr="00FD32C4">
        <w:rPr>
          <w:rFonts w:asciiTheme="majorHAnsi" w:hAnsiTheme="majorHAnsi"/>
        </w:rPr>
        <w:instrText xml:space="preserve"> SEQ Abb. \* ARABIC </w:instrText>
      </w:r>
      <w:r w:rsidRPr="00FD32C4">
        <w:rPr>
          <w:rFonts w:asciiTheme="majorHAnsi" w:hAnsiTheme="majorHAnsi"/>
        </w:rPr>
        <w:fldChar w:fldCharType="separate"/>
      </w:r>
      <w:r>
        <w:rPr>
          <w:rFonts w:asciiTheme="majorHAnsi" w:hAnsiTheme="majorHAnsi"/>
          <w:noProof/>
        </w:rPr>
        <w:t>4</w:t>
      </w:r>
      <w:r w:rsidRPr="00FD32C4">
        <w:rPr>
          <w:rFonts w:asciiTheme="majorHAnsi" w:hAnsiTheme="majorHAnsi"/>
          <w:noProof/>
        </w:rPr>
        <w:fldChar w:fldCharType="end"/>
      </w:r>
      <w:r w:rsidRPr="00FD32C4">
        <w:rPr>
          <w:rFonts w:asciiTheme="majorHAnsi" w:hAnsiTheme="majorHAnsi"/>
        </w:rPr>
        <w:t xml:space="preserve"> - </w:t>
      </w:r>
      <w:r w:rsidRPr="00FD32C4">
        <w:rPr>
          <w:rFonts w:asciiTheme="majorHAnsi" w:hAnsiTheme="majorHAnsi"/>
          <w:noProof/>
        </w:rPr>
        <w:t xml:space="preserve"> Versuchsaufbau mit zu erwartenden Beobachtungen.</w:t>
      </w:r>
    </w:p>
    <w:p w:rsidR="00980F3F" w:rsidRPr="00FD32C4" w:rsidRDefault="00980F3F" w:rsidP="00980F3F">
      <w:pPr>
        <w:tabs>
          <w:tab w:val="left" w:pos="1701"/>
          <w:tab w:val="left" w:pos="1985"/>
        </w:tabs>
        <w:ind w:left="1985" w:hanging="2124"/>
        <w:contextualSpacing/>
        <w:rPr>
          <w:rFonts w:asciiTheme="majorHAnsi" w:hAnsiTheme="majorHAnsi"/>
        </w:rPr>
      </w:pPr>
      <w:r w:rsidRPr="00FD32C4">
        <w:rPr>
          <w:rFonts w:asciiTheme="majorHAnsi" w:hAnsiTheme="majorHAnsi"/>
        </w:rPr>
        <w:t>Deutung:</w:t>
      </w:r>
      <w:r w:rsidRPr="00FD32C4">
        <w:rPr>
          <w:rFonts w:asciiTheme="majorHAnsi" w:hAnsiTheme="majorHAnsi"/>
        </w:rPr>
        <w:tab/>
      </w:r>
      <w:r w:rsidRPr="00FD32C4">
        <w:rPr>
          <w:rFonts w:asciiTheme="majorHAnsi" w:hAnsiTheme="majorHAnsi"/>
        </w:rPr>
        <w:tab/>
        <w:t xml:space="preserve">Sauerstoff besitzt eine höhere Dichte als Luft und sinkt deshalb nach unten. </w:t>
      </w:r>
    </w:p>
    <w:p w:rsidR="00980F3F" w:rsidRPr="00FD32C4" w:rsidRDefault="00980F3F" w:rsidP="00980F3F">
      <w:pPr>
        <w:tabs>
          <w:tab w:val="left" w:pos="1701"/>
          <w:tab w:val="left" w:pos="1985"/>
        </w:tabs>
        <w:ind w:left="1985" w:hanging="2124"/>
        <w:contextualSpacing/>
        <w:rPr>
          <w:rFonts w:asciiTheme="majorHAnsi" w:hAnsiTheme="majorHAnsi"/>
        </w:rPr>
      </w:pPr>
      <w:r w:rsidRPr="00FD32C4">
        <w:rPr>
          <w:rFonts w:asciiTheme="majorHAnsi" w:hAnsiTheme="majorHAnsi"/>
        </w:rPr>
        <w:tab/>
      </w:r>
      <w:r w:rsidRPr="00FD32C4">
        <w:rPr>
          <w:rFonts w:asciiTheme="majorHAnsi" w:hAnsiTheme="majorHAnsi"/>
        </w:rPr>
        <w:tab/>
        <w:t>Sauerstoff hat eine Dichte von 1,43 g/L, Luft hingegen eine Dichte von 1,29 g/L. Die Glimmspanprobe ist deshalb beim Öffnen des Reagenzglases mit der Öffnung nach unten positiv, da der Glimmspan anfängt zu brennen.</w:t>
      </w:r>
    </w:p>
    <w:p w:rsidR="00980F3F" w:rsidRPr="00FD32C4" w:rsidRDefault="00980F3F" w:rsidP="00980F3F">
      <w:pPr>
        <w:tabs>
          <w:tab w:val="left" w:pos="1701"/>
          <w:tab w:val="left" w:pos="1985"/>
        </w:tabs>
        <w:ind w:left="1985" w:hanging="2124"/>
        <w:contextualSpacing/>
        <w:rPr>
          <w:rFonts w:asciiTheme="majorHAnsi" w:eastAsiaTheme="minorEastAsia" w:hAnsiTheme="majorHAnsi"/>
        </w:rPr>
      </w:pPr>
      <w:r w:rsidRPr="00FD32C4">
        <w:rPr>
          <w:rFonts w:asciiTheme="majorHAnsi" w:hAnsiTheme="majorHAnsi"/>
        </w:rPr>
        <w:tab/>
      </w:r>
      <w:r w:rsidRPr="00FD32C4">
        <w:rPr>
          <w:rFonts w:asciiTheme="majorHAnsi" w:hAnsiTheme="majorHAnsi"/>
        </w:rPr>
        <w:tab/>
        <w:t>Der Sauerstoff in dem Reagenzglas mit der Öffnung nach oben ist zum geschlossenen Ende und steigt nicht auf, deshalb ist hier nur die Glimmspanprobe innerhalb des Reagenzglases positiv.</w:t>
      </w:r>
    </w:p>
    <w:p w:rsidR="00980F3F" w:rsidRPr="00FD32C4" w:rsidRDefault="00980F3F" w:rsidP="00980F3F">
      <w:pPr>
        <w:ind w:left="1985" w:hanging="1985"/>
        <w:contextualSpacing/>
        <w:rPr>
          <w:rFonts w:asciiTheme="majorHAnsi" w:hAnsiTheme="majorHAnsi"/>
        </w:rPr>
      </w:pPr>
      <w:r w:rsidRPr="00FD32C4">
        <w:rPr>
          <w:rFonts w:asciiTheme="majorHAnsi" w:hAnsiTheme="majorHAnsi"/>
        </w:rPr>
        <w:t>Entsorgung:</w:t>
      </w:r>
      <w:r w:rsidRPr="00FD32C4">
        <w:rPr>
          <w:rFonts w:asciiTheme="majorHAnsi" w:hAnsiTheme="majorHAnsi"/>
        </w:rPr>
        <w:tab/>
        <w:t xml:space="preserve">Keine besondere Entsorgung notwendig. </w:t>
      </w:r>
    </w:p>
    <w:p w:rsidR="00980F3F" w:rsidRPr="00FD32C4" w:rsidRDefault="00980F3F" w:rsidP="00980F3F">
      <w:pPr>
        <w:ind w:left="1985" w:hanging="1985"/>
        <w:contextualSpacing/>
        <w:rPr>
          <w:rFonts w:asciiTheme="majorHAnsi" w:hAnsiTheme="majorHAnsi"/>
        </w:rPr>
      </w:pPr>
      <w:r w:rsidRPr="00FD32C4">
        <w:rPr>
          <w:rFonts w:asciiTheme="majorHAnsi" w:hAnsiTheme="majorHAnsi"/>
        </w:rPr>
        <w:t>Literatur:</w:t>
      </w:r>
      <w:r w:rsidRPr="00FD32C4">
        <w:rPr>
          <w:rFonts w:asciiTheme="majorHAnsi" w:hAnsiTheme="majorHAnsi"/>
        </w:rPr>
        <w:tab/>
        <w:t>[1] H. Schmidkunz, Chemische Freihandversuche, Band 1, 2011, S.204</w:t>
      </w:r>
    </w:p>
    <w:p w:rsidR="00980F3F" w:rsidRPr="00FD32C4" w:rsidRDefault="00980F3F" w:rsidP="00980F3F">
      <w:pPr>
        <w:tabs>
          <w:tab w:val="left" w:pos="1701"/>
          <w:tab w:val="left" w:pos="1985"/>
        </w:tabs>
        <w:ind w:left="1980" w:hanging="1980"/>
        <w:contextualSpacing/>
        <w:rPr>
          <w:rFonts w:asciiTheme="majorHAnsi" w:hAnsiTheme="majorHAnsi"/>
          <w:color w:val="44546A" w:themeColor="text2"/>
        </w:rPr>
      </w:pPr>
      <w:r w:rsidRPr="00FD32C4">
        <w:rPr>
          <w:rFonts w:asciiTheme="majorHAnsi" w:hAnsiTheme="majorHAnsi"/>
          <w:noProof/>
          <w:lang w:eastAsia="de-DE"/>
        </w:rPr>
        <mc:AlternateContent>
          <mc:Choice Requires="wps">
            <w:drawing>
              <wp:inline distT="0" distB="0" distL="0" distR="0" wp14:anchorId="66941570" wp14:editId="5A0749D2">
                <wp:extent cx="5760720" cy="1020726"/>
                <wp:effectExtent l="0" t="0" r="11430" b="27305"/>
                <wp:docPr id="4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20726"/>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80F3F" w:rsidRPr="00F31EBF" w:rsidRDefault="00980F3F" w:rsidP="00980F3F">
                            <w:pPr>
                              <w:rPr>
                                <w:color w:val="auto"/>
                              </w:rPr>
                            </w:pPr>
                            <w:r>
                              <w:rPr>
                                <w:b/>
                                <w:color w:val="auto"/>
                              </w:rPr>
                              <w:t>Unterrichtsanschlüsse:</w:t>
                            </w:r>
                            <w:r>
                              <w:rPr>
                                <w:color w:val="auto"/>
                              </w:rPr>
                              <w:t xml:space="preserve"> Neben der Darstellung aus Wasserstoffperoxid, Kaliumpermanganat oder percarbonathaltigen Waschmitteln kann eine Sauerstoffgasflasche von der Lehrperson zum Abfüllen genutzt werden. Dies kann alternativ auch vor der Stunde durch die Lehrperson vorbereitet werden.</w:t>
                            </w:r>
                          </w:p>
                        </w:txbxContent>
                      </wps:txbx>
                      <wps:bodyPr rot="0" vert="horz" wrap="square" lIns="91440" tIns="45720" rIns="91440" bIns="45720" anchor="t" anchorCtr="0" upright="1">
                        <a:noAutofit/>
                      </wps:bodyPr>
                    </wps:wsp>
                  </a:graphicData>
                </a:graphic>
              </wp:inline>
            </w:drawing>
          </mc:Choice>
          <mc:Fallback>
            <w:pict>
              <v:shape w14:anchorId="66941570" id="Text Box 137" o:spid="_x0000_s1027" type="#_x0000_t202" style="width:453.6pt;height:8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" fillcolor="white [3201]" strokecolor="#ed7d31 [3205]" strokeweight="1pt">
                <v:stroke dashstyle="dash"/>
                <v:shadow color="#868686"/>
                <v:textbox>
                  <w:txbxContent>
                    <w:p w:rsidR="00980F3F" w:rsidRPr="00F31EBF" w:rsidRDefault="00980F3F" w:rsidP="00980F3F">
                      <w:pPr>
                        <w:rPr>
                          <w:color w:val="auto"/>
                        </w:rPr>
                      </w:pPr>
                      <w:r>
                        <w:rPr>
                          <w:b/>
                          <w:color w:val="auto"/>
                        </w:rPr>
                        <w:t>Unterrichtsanschlüsse:</w:t>
                      </w:r>
                      <w:r>
                        <w:rPr>
                          <w:color w:val="auto"/>
                        </w:rPr>
                        <w:t xml:space="preserve"> Neben der Darstellung aus Wasserstoffperoxid, Kaliumpermanganat oder percarbonathaltigen Waschmitteln kann eine Sauerstoffgasflasche von der Lehrperson zum Abfüllen genutzt werden. Dies kann alternativ auch vor der Stunde durch die Lehrperson vorbereitet werden.</w:t>
                      </w:r>
                    </w:p>
                  </w:txbxContent>
                </v:textbox>
                <w10:anchorlock/>
              </v:shape>
            </w:pict>
          </mc:Fallback>
        </mc:AlternateContent>
      </w:r>
    </w:p>
    <w:p w:rsidR="00D73F5D" w:rsidRPr="00980F3F" w:rsidRDefault="00D73F5D" w:rsidP="00980F3F">
      <w:bookmarkStart w:id="1" w:name="_GoBack"/>
      <w:bookmarkEnd w:id="1"/>
    </w:p>
    <w:sectPr w:rsidR="00D73F5D" w:rsidRPr="00980F3F">
      <w:footerReference w:type="default" r:id="rId15"/>
      <w:footerReference w:type="first" r:id="rId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980F3F">
        <w:pPr>
          <w:pStyle w:val="Fuzeile"/>
          <w:jc w:val="center"/>
        </w:pPr>
        <w:r>
          <w:fldChar w:fldCharType="begin"/>
        </w:r>
        <w:r>
          <w:instrText>PAGE   \* MERGEFORMAT</w:instrText>
        </w:r>
        <w:r>
          <w:fldChar w:fldCharType="separate"/>
        </w:r>
        <w:r>
          <w:rPr>
            <w:noProof/>
          </w:rPr>
          <w:t>2</w:t>
        </w:r>
        <w:r>
          <w:fldChar w:fldCharType="end"/>
        </w:r>
      </w:p>
    </w:sdtContent>
  </w:sdt>
  <w:p w:rsidR="0099183C" w:rsidRDefault="00980F3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980F3F">
    <w:pPr>
      <w:pStyle w:val="Fuzeile"/>
      <w:jc w:val="center"/>
    </w:pPr>
  </w:p>
  <w:p w:rsidR="0099183C" w:rsidRDefault="00980F3F">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1C7E4D"/>
    <w:rsid w:val="00240CE2"/>
    <w:rsid w:val="003143CC"/>
    <w:rsid w:val="003D42D3"/>
    <w:rsid w:val="007D4813"/>
    <w:rsid w:val="008F5648"/>
    <w:rsid w:val="00980F3F"/>
    <w:rsid w:val="00A3064F"/>
    <w:rsid w:val="00C20C1B"/>
    <w:rsid w:val="00C443B4"/>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paragraph" w:styleId="berschrift3">
    <w:name w:val="heading 3"/>
    <w:basedOn w:val="Standard"/>
    <w:next w:val="Standard"/>
    <w:link w:val="berschrift3Zchn"/>
    <w:uiPriority w:val="9"/>
    <w:unhideWhenUsed/>
    <w:qFormat/>
    <w:rsid w:val="00980F3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80F3F"/>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80F3F"/>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80F3F"/>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80F3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80F3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80F3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 w:type="character" w:styleId="HTMLZitat">
    <w:name w:val="HTML Cite"/>
    <w:basedOn w:val="Absatz-Standardschriftart"/>
    <w:uiPriority w:val="99"/>
    <w:semiHidden/>
    <w:unhideWhenUsed/>
    <w:rsid w:val="008F5648"/>
    <w:rPr>
      <w:i/>
      <w:iCs/>
    </w:rPr>
  </w:style>
  <w:style w:type="character" w:customStyle="1" w:styleId="berschrift3Zchn">
    <w:name w:val="Überschrift 3 Zchn"/>
    <w:basedOn w:val="Absatz-Standardschriftart"/>
    <w:link w:val="berschrift3"/>
    <w:uiPriority w:val="9"/>
    <w:rsid w:val="00980F3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80F3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80F3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80F3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80F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80F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80F3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2</cp:revision>
  <dcterms:created xsi:type="dcterms:W3CDTF">2016-08-09T06:45:00Z</dcterms:created>
  <dcterms:modified xsi:type="dcterms:W3CDTF">2016-08-09T06:45:00Z</dcterms:modified>
</cp:coreProperties>
</file>