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060" w:rsidRPr="004D7060" w:rsidRDefault="004D7060" w:rsidP="004D7060">
      <w:pPr>
        <w:rPr>
          <w:b/>
          <w:sz w:val="24"/>
        </w:rPr>
      </w:pPr>
      <w:bookmarkStart w:id="0" w:name="_Toc457743817"/>
      <w:r w:rsidRPr="004D7060">
        <w:rPr>
          <w:b/>
          <w:noProof/>
          <w:sz w:val="24"/>
          <w:lang w:eastAsia="de-DE"/>
        </w:rPr>
        <mc:AlternateContent>
          <mc:Choice Requires="wps">
            <w:drawing>
              <wp:anchor distT="0" distB="0" distL="114300" distR="114300" simplePos="0" relativeHeight="251659264" behindDoc="0" locked="0" layoutInCell="1" allowOverlap="1" wp14:anchorId="54EE7662" wp14:editId="5B4083D6">
                <wp:simplePos x="0" y="0"/>
                <wp:positionH relativeFrom="margin">
                  <wp:align>left</wp:align>
                </wp:positionH>
                <wp:positionV relativeFrom="paragraph">
                  <wp:posOffset>398145</wp:posOffset>
                </wp:positionV>
                <wp:extent cx="5873115" cy="1047750"/>
                <wp:effectExtent l="0" t="0" r="13335" b="19050"/>
                <wp:wrapSquare wrapText="bothSides"/>
                <wp:docPr id="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77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7060" w:rsidRPr="00F31EBF" w:rsidRDefault="004D7060" w:rsidP="004D7060">
                            <w:pPr>
                              <w:rPr>
                                <w:color w:val="auto"/>
                              </w:rPr>
                            </w:pPr>
                            <w:r>
                              <w:rPr>
                                <w:color w:val="auto"/>
                              </w:rPr>
                              <w:t>Mit diesem Versuch können die Schülerinnen und Schüler das Alltagsphänomen von weichem Brot und Brötchen verstehen. Die SuS sollen lernen, dass die Bildung von Kohlenstoffdioxid für die luftigen Backwaren verantwortlich ist. Zudem wird das beim Backen entstehende Gas über Kalkwasser eindeutig als Kohlenstoffdioxid nachgewiesen.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EE7662" id="_x0000_t202" coordsize="21600,21600" o:spt="202" path="m,l,21600r21600,l21600,xe">
                <v:stroke joinstyle="miter"/>
                <v:path gradientshapeok="t" o:connecttype="rect"/>
              </v:shapetype>
              <v:shape id="Text Box 60" o:spid="_x0000_s1026" type="#_x0000_t202" style="position:absolute;left:0;text-align:left;margin-left:0;margin-top:31.35pt;width:462.45pt;height: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" fillcolor="white [3201]" strokecolor="#4472c4 [3208]" strokeweight="1pt">
                <v:stroke dashstyle="dash"/>
                <v:shadow color="#868686"/>
                <v:textbox>
                  <w:txbxContent>
                    <w:p w:rsidR="004D7060" w:rsidRPr="00F31EBF" w:rsidRDefault="004D7060" w:rsidP="004D7060">
                      <w:pPr>
                        <w:rPr>
                          <w:color w:val="auto"/>
                        </w:rPr>
                      </w:pPr>
                      <w:r>
                        <w:rPr>
                          <w:color w:val="auto"/>
                        </w:rPr>
                        <w:t>Mit diesem Versuch können die Schülerinnen und Schüler das Alltagsphänomen von weichem Brot und Brötchen verstehen. Die SuS sollen lernen, dass die Bildung von Kohlenstoffdioxid für die luftigen Backwaren verantwortlich ist. Zudem wird das beim Backen entstehende Gas über Kalkwasser eindeutig als Kohlenstoffdioxid nachgewiesen.</w:t>
                      </w:r>
                    </w:p>
                  </w:txbxContent>
                </v:textbox>
                <w10:wrap type="square" anchorx="margin"/>
              </v:shape>
            </w:pict>
          </mc:Fallback>
        </mc:AlternateContent>
      </w:r>
      <w:r w:rsidRPr="004D7060">
        <w:rPr>
          <w:b/>
          <w:sz w:val="24"/>
        </w:rPr>
        <w:t>V2 – Die Chemie des Backens</w:t>
      </w:r>
      <w:bookmarkEnd w:id="0"/>
    </w:p>
    <w:p w:rsidR="004D7060" w:rsidRDefault="004D7060" w:rsidP="004D7060">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D7060" w:rsidRPr="009C5E28" w:rsidTr="001B0FE3">
        <w:tc>
          <w:tcPr>
            <w:tcW w:w="9322" w:type="dxa"/>
            <w:gridSpan w:val="9"/>
            <w:shd w:val="clear" w:color="auto" w:fill="4F81BD"/>
            <w:vAlign w:val="center"/>
          </w:tcPr>
          <w:p w:rsidR="004D7060" w:rsidRPr="00F31EBF" w:rsidRDefault="004D7060" w:rsidP="001B0FE3">
            <w:pPr>
              <w:spacing w:after="0"/>
              <w:jc w:val="center"/>
              <w:rPr>
                <w:b/>
                <w:bCs/>
                <w:color w:val="FFFFFF" w:themeColor="background1"/>
              </w:rPr>
            </w:pPr>
            <w:r w:rsidRPr="00F31EBF">
              <w:rPr>
                <w:b/>
                <w:bCs/>
                <w:color w:val="FFFFFF" w:themeColor="background1"/>
              </w:rPr>
              <w:t>Gefahrenstoffe</w:t>
            </w:r>
          </w:p>
        </w:tc>
      </w:tr>
      <w:tr w:rsidR="004D7060" w:rsidRPr="009C5E28" w:rsidTr="001B0FE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D7060" w:rsidRPr="009C5E28" w:rsidRDefault="004D7060" w:rsidP="001B0FE3">
            <w:pPr>
              <w:spacing w:after="0" w:line="276" w:lineRule="auto"/>
              <w:jc w:val="center"/>
              <w:rPr>
                <w:b/>
                <w:bCs/>
              </w:rPr>
            </w:pPr>
            <w:r>
              <w:rPr>
                <w:sz w:val="20"/>
              </w:rPr>
              <w:t>Natriumhydrogencarbonat</w:t>
            </w:r>
          </w:p>
        </w:tc>
        <w:tc>
          <w:tcPr>
            <w:tcW w:w="3177" w:type="dxa"/>
            <w:gridSpan w:val="3"/>
            <w:tcBorders>
              <w:top w:val="single" w:sz="8" w:space="0" w:color="4F81BD"/>
              <w:bottom w:val="single" w:sz="8" w:space="0" w:color="4F81BD"/>
            </w:tcBorders>
            <w:shd w:val="clear" w:color="auto" w:fill="auto"/>
            <w:vAlign w:val="center"/>
          </w:tcPr>
          <w:p w:rsidR="004D7060" w:rsidRPr="009C5E28" w:rsidRDefault="004D7060" w:rsidP="001B0FE3">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D7060" w:rsidRPr="009C5E28" w:rsidRDefault="004D7060" w:rsidP="001B0FE3">
            <w:pPr>
              <w:spacing w:after="0"/>
              <w:jc w:val="center"/>
            </w:pPr>
            <w:r>
              <w:rPr>
                <w:sz w:val="20"/>
              </w:rPr>
              <w:t>-</w:t>
            </w:r>
          </w:p>
        </w:tc>
      </w:tr>
      <w:tr w:rsidR="004D7060" w:rsidRPr="009C5E28" w:rsidTr="001B0FE3">
        <w:trPr>
          <w:trHeight w:val="434"/>
        </w:trPr>
        <w:tc>
          <w:tcPr>
            <w:tcW w:w="3027" w:type="dxa"/>
            <w:gridSpan w:val="3"/>
            <w:tcBorders>
              <w:bottom w:val="single" w:sz="4" w:space="0" w:color="5B9BD5" w:themeColor="accent1"/>
            </w:tcBorders>
            <w:shd w:val="clear" w:color="auto" w:fill="auto"/>
            <w:vAlign w:val="center"/>
          </w:tcPr>
          <w:p w:rsidR="004D7060" w:rsidRPr="00B94037" w:rsidRDefault="004D7060" w:rsidP="001B0FE3">
            <w:pPr>
              <w:spacing w:after="0" w:line="276" w:lineRule="auto"/>
              <w:jc w:val="center"/>
              <w:rPr>
                <w:color w:val="auto"/>
                <w:sz w:val="20"/>
                <w:szCs w:val="20"/>
              </w:rPr>
            </w:pPr>
            <w:r>
              <w:rPr>
                <w:color w:val="auto"/>
                <w:sz w:val="20"/>
                <w:szCs w:val="20"/>
              </w:rPr>
              <w:t>Salzsäure (w=20 %)</w:t>
            </w:r>
          </w:p>
        </w:tc>
        <w:tc>
          <w:tcPr>
            <w:tcW w:w="3177" w:type="dxa"/>
            <w:gridSpan w:val="3"/>
            <w:tcBorders>
              <w:bottom w:val="single" w:sz="4" w:space="0" w:color="5B9BD5" w:themeColor="accent1"/>
            </w:tcBorders>
            <w:shd w:val="clear" w:color="auto" w:fill="auto"/>
            <w:vAlign w:val="center"/>
          </w:tcPr>
          <w:p w:rsidR="004D7060" w:rsidRPr="009C5E28" w:rsidRDefault="004D7060" w:rsidP="001B0FE3">
            <w:pPr>
              <w:pStyle w:val="Beschriftung"/>
              <w:spacing w:after="0"/>
              <w:jc w:val="center"/>
              <w:rPr>
                <w:sz w:val="20"/>
              </w:rPr>
            </w:pPr>
            <w:r>
              <w:rPr>
                <w:sz w:val="20"/>
              </w:rPr>
              <w:t>H: 315,319, 335, 290</w:t>
            </w:r>
          </w:p>
        </w:tc>
        <w:tc>
          <w:tcPr>
            <w:tcW w:w="3118" w:type="dxa"/>
            <w:gridSpan w:val="3"/>
            <w:tcBorders>
              <w:bottom w:val="single" w:sz="4" w:space="0" w:color="5B9BD5" w:themeColor="accent1"/>
            </w:tcBorders>
            <w:shd w:val="clear" w:color="auto" w:fill="auto"/>
            <w:vAlign w:val="center"/>
          </w:tcPr>
          <w:p w:rsidR="004D7060" w:rsidRPr="009C5E28" w:rsidRDefault="004D7060" w:rsidP="001B0FE3">
            <w:pPr>
              <w:pStyle w:val="Beschriftung"/>
              <w:spacing w:after="0"/>
              <w:jc w:val="center"/>
              <w:rPr>
                <w:sz w:val="20"/>
              </w:rPr>
            </w:pPr>
            <w:r>
              <w:rPr>
                <w:sz w:val="20"/>
              </w:rPr>
              <w:t>P: 261, 280, 305+338+310</w:t>
            </w:r>
          </w:p>
        </w:tc>
      </w:tr>
      <w:tr w:rsidR="004D7060" w:rsidRPr="009C5E28" w:rsidTr="001B0FE3">
        <w:trPr>
          <w:trHeight w:val="434"/>
        </w:trPr>
        <w:tc>
          <w:tcPr>
            <w:tcW w:w="3027" w:type="dxa"/>
            <w:gridSpan w:val="3"/>
            <w:tcBorders>
              <w:bottom w:val="single" w:sz="4" w:space="0" w:color="5B9BD5" w:themeColor="accent1"/>
            </w:tcBorders>
            <w:shd w:val="clear" w:color="auto" w:fill="auto"/>
            <w:vAlign w:val="center"/>
          </w:tcPr>
          <w:p w:rsidR="004D7060" w:rsidRDefault="004D7060" w:rsidP="001B0FE3">
            <w:pPr>
              <w:spacing w:after="0" w:line="276" w:lineRule="auto"/>
              <w:jc w:val="center"/>
              <w:rPr>
                <w:color w:val="auto"/>
                <w:sz w:val="20"/>
                <w:szCs w:val="20"/>
              </w:rPr>
            </w:pPr>
            <w:r>
              <w:rPr>
                <w:color w:val="auto"/>
                <w:sz w:val="20"/>
                <w:szCs w:val="20"/>
              </w:rPr>
              <w:t>Kohlenstoffdioxid</w:t>
            </w:r>
          </w:p>
        </w:tc>
        <w:tc>
          <w:tcPr>
            <w:tcW w:w="3177" w:type="dxa"/>
            <w:gridSpan w:val="3"/>
            <w:tcBorders>
              <w:bottom w:val="single" w:sz="4" w:space="0" w:color="5B9BD5" w:themeColor="accent1"/>
            </w:tcBorders>
            <w:shd w:val="clear" w:color="auto" w:fill="auto"/>
            <w:vAlign w:val="center"/>
          </w:tcPr>
          <w:p w:rsidR="004D7060" w:rsidRDefault="004D7060" w:rsidP="001B0FE3">
            <w:pPr>
              <w:pStyle w:val="Beschriftung"/>
              <w:spacing w:after="0"/>
              <w:jc w:val="center"/>
              <w:rPr>
                <w:sz w:val="20"/>
              </w:rPr>
            </w:pPr>
            <w:r>
              <w:rPr>
                <w:sz w:val="20"/>
              </w:rPr>
              <w:t>-</w:t>
            </w:r>
          </w:p>
        </w:tc>
        <w:tc>
          <w:tcPr>
            <w:tcW w:w="3118" w:type="dxa"/>
            <w:gridSpan w:val="3"/>
            <w:tcBorders>
              <w:bottom w:val="single" w:sz="4" w:space="0" w:color="5B9BD5" w:themeColor="accent1"/>
            </w:tcBorders>
            <w:shd w:val="clear" w:color="auto" w:fill="auto"/>
            <w:vAlign w:val="center"/>
          </w:tcPr>
          <w:p w:rsidR="004D7060" w:rsidRDefault="004D7060" w:rsidP="001B0FE3">
            <w:pPr>
              <w:pStyle w:val="Beschriftung"/>
              <w:spacing w:after="0"/>
              <w:jc w:val="center"/>
              <w:rPr>
                <w:sz w:val="20"/>
              </w:rPr>
            </w:pPr>
            <w:r>
              <w:rPr>
                <w:sz w:val="20"/>
              </w:rPr>
              <w:t>-</w:t>
            </w:r>
          </w:p>
        </w:tc>
      </w:tr>
      <w:tr w:rsidR="004D7060" w:rsidRPr="009C5E28" w:rsidTr="001B0FE3">
        <w:trPr>
          <w:trHeight w:val="434"/>
        </w:trPr>
        <w:tc>
          <w:tcPr>
            <w:tcW w:w="3027" w:type="dxa"/>
            <w:gridSpan w:val="3"/>
            <w:tcBorders>
              <w:bottom w:val="single" w:sz="4" w:space="0" w:color="5B9BD5" w:themeColor="accent1"/>
            </w:tcBorders>
            <w:shd w:val="clear" w:color="auto" w:fill="auto"/>
            <w:vAlign w:val="center"/>
          </w:tcPr>
          <w:p w:rsidR="004D7060" w:rsidRDefault="004D7060" w:rsidP="001B0FE3">
            <w:pPr>
              <w:spacing w:after="0" w:line="276" w:lineRule="auto"/>
              <w:jc w:val="center"/>
              <w:rPr>
                <w:color w:val="auto"/>
                <w:sz w:val="20"/>
                <w:szCs w:val="20"/>
              </w:rPr>
            </w:pPr>
            <w:r>
              <w:rPr>
                <w:color w:val="auto"/>
                <w:sz w:val="20"/>
                <w:szCs w:val="20"/>
              </w:rPr>
              <w:t>Calciumcarbonat</w:t>
            </w:r>
          </w:p>
        </w:tc>
        <w:tc>
          <w:tcPr>
            <w:tcW w:w="3177" w:type="dxa"/>
            <w:gridSpan w:val="3"/>
            <w:tcBorders>
              <w:bottom w:val="single" w:sz="4" w:space="0" w:color="5B9BD5" w:themeColor="accent1"/>
            </w:tcBorders>
            <w:shd w:val="clear" w:color="auto" w:fill="auto"/>
            <w:vAlign w:val="center"/>
          </w:tcPr>
          <w:p w:rsidR="004D7060" w:rsidRDefault="004D7060" w:rsidP="001B0FE3">
            <w:pPr>
              <w:pStyle w:val="Beschriftung"/>
              <w:spacing w:after="0"/>
              <w:jc w:val="center"/>
              <w:rPr>
                <w:sz w:val="20"/>
              </w:rPr>
            </w:pPr>
            <w:r>
              <w:rPr>
                <w:sz w:val="20"/>
              </w:rPr>
              <w:t>-</w:t>
            </w:r>
          </w:p>
        </w:tc>
        <w:tc>
          <w:tcPr>
            <w:tcW w:w="3118" w:type="dxa"/>
            <w:gridSpan w:val="3"/>
            <w:tcBorders>
              <w:bottom w:val="single" w:sz="4" w:space="0" w:color="5B9BD5" w:themeColor="accent1"/>
            </w:tcBorders>
            <w:shd w:val="clear" w:color="auto" w:fill="auto"/>
            <w:vAlign w:val="center"/>
          </w:tcPr>
          <w:p w:rsidR="004D7060" w:rsidRDefault="004D7060" w:rsidP="001B0FE3">
            <w:pPr>
              <w:pStyle w:val="Beschriftung"/>
              <w:spacing w:after="0"/>
              <w:jc w:val="center"/>
              <w:rPr>
                <w:sz w:val="20"/>
              </w:rPr>
            </w:pPr>
            <w:r>
              <w:rPr>
                <w:sz w:val="20"/>
              </w:rPr>
              <w:t>-</w:t>
            </w:r>
          </w:p>
        </w:tc>
      </w:tr>
      <w:tr w:rsidR="004D7060" w:rsidRPr="009C5E28" w:rsidTr="001B0FE3">
        <w:trPr>
          <w:trHeight w:val="394"/>
        </w:trPr>
        <w:tc>
          <w:tcPr>
            <w:tcW w:w="3027" w:type="dxa"/>
            <w:gridSpan w:val="3"/>
            <w:tcBorders>
              <w:top w:val="single" w:sz="4" w:space="0" w:color="5B9BD5" w:themeColor="accent1"/>
              <w:bottom w:val="nil"/>
            </w:tcBorders>
            <w:shd w:val="clear" w:color="auto" w:fill="auto"/>
            <w:vAlign w:val="center"/>
          </w:tcPr>
          <w:p w:rsidR="004D7060" w:rsidRDefault="004D7060" w:rsidP="001B0FE3">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5B9BD5" w:themeColor="accent1"/>
              <w:bottom w:val="nil"/>
            </w:tcBorders>
            <w:shd w:val="clear" w:color="auto" w:fill="auto"/>
            <w:vAlign w:val="center"/>
          </w:tcPr>
          <w:p w:rsidR="004D7060" w:rsidRPr="009C5E28" w:rsidRDefault="004D7060" w:rsidP="001B0FE3">
            <w:pPr>
              <w:pStyle w:val="Beschriftung"/>
              <w:spacing w:after="0"/>
              <w:jc w:val="center"/>
              <w:rPr>
                <w:sz w:val="20"/>
              </w:rPr>
            </w:pPr>
            <w:r>
              <w:rPr>
                <w:sz w:val="20"/>
              </w:rPr>
              <w:t>-</w:t>
            </w:r>
          </w:p>
        </w:tc>
        <w:tc>
          <w:tcPr>
            <w:tcW w:w="3118" w:type="dxa"/>
            <w:gridSpan w:val="3"/>
            <w:tcBorders>
              <w:top w:val="single" w:sz="4" w:space="0" w:color="5B9BD5" w:themeColor="accent1"/>
              <w:bottom w:val="nil"/>
            </w:tcBorders>
            <w:shd w:val="clear" w:color="auto" w:fill="auto"/>
            <w:vAlign w:val="center"/>
          </w:tcPr>
          <w:p w:rsidR="004D7060" w:rsidRPr="009C5E28" w:rsidRDefault="004D7060" w:rsidP="001B0FE3">
            <w:pPr>
              <w:pStyle w:val="Beschriftung"/>
              <w:spacing w:after="0"/>
              <w:jc w:val="center"/>
              <w:rPr>
                <w:sz w:val="20"/>
              </w:rPr>
            </w:pPr>
            <w:r>
              <w:rPr>
                <w:sz w:val="20"/>
              </w:rPr>
              <w:t>-</w:t>
            </w:r>
          </w:p>
        </w:tc>
      </w:tr>
      <w:tr w:rsidR="004D7060" w:rsidRPr="009C5E28" w:rsidTr="001B0FE3">
        <w:trPr>
          <w:trHeight w:val="394"/>
        </w:trPr>
        <w:tc>
          <w:tcPr>
            <w:tcW w:w="3027" w:type="dxa"/>
            <w:gridSpan w:val="3"/>
            <w:tcBorders>
              <w:top w:val="single" w:sz="4" w:space="0" w:color="5B9BD5" w:themeColor="accent1"/>
              <w:bottom w:val="nil"/>
            </w:tcBorders>
            <w:shd w:val="clear" w:color="auto" w:fill="auto"/>
            <w:vAlign w:val="center"/>
          </w:tcPr>
          <w:p w:rsidR="004D7060" w:rsidRDefault="004D7060" w:rsidP="001B0FE3">
            <w:pPr>
              <w:spacing w:after="0" w:line="276" w:lineRule="auto"/>
              <w:jc w:val="center"/>
              <w:rPr>
                <w:color w:val="auto"/>
                <w:sz w:val="20"/>
                <w:szCs w:val="20"/>
              </w:rPr>
            </w:pPr>
            <w:r>
              <w:rPr>
                <w:color w:val="auto"/>
                <w:sz w:val="20"/>
                <w:szCs w:val="20"/>
              </w:rPr>
              <w:t>Kalkwasser</w:t>
            </w:r>
          </w:p>
        </w:tc>
        <w:tc>
          <w:tcPr>
            <w:tcW w:w="3177" w:type="dxa"/>
            <w:gridSpan w:val="3"/>
            <w:tcBorders>
              <w:top w:val="single" w:sz="4" w:space="0" w:color="5B9BD5" w:themeColor="accent1"/>
              <w:bottom w:val="nil"/>
            </w:tcBorders>
            <w:shd w:val="clear" w:color="auto" w:fill="auto"/>
            <w:vAlign w:val="center"/>
          </w:tcPr>
          <w:p w:rsidR="004D7060" w:rsidRDefault="004D7060" w:rsidP="001B0FE3">
            <w:pPr>
              <w:pStyle w:val="Beschriftung"/>
              <w:spacing w:after="0"/>
              <w:jc w:val="center"/>
              <w:rPr>
                <w:sz w:val="20"/>
              </w:rPr>
            </w:pPr>
            <w:r>
              <w:rPr>
                <w:sz w:val="20"/>
              </w:rPr>
              <w:t>H: 315, 318, 335</w:t>
            </w:r>
          </w:p>
        </w:tc>
        <w:tc>
          <w:tcPr>
            <w:tcW w:w="3118" w:type="dxa"/>
            <w:gridSpan w:val="3"/>
            <w:tcBorders>
              <w:top w:val="single" w:sz="4" w:space="0" w:color="5B9BD5" w:themeColor="accent1"/>
              <w:bottom w:val="nil"/>
            </w:tcBorders>
            <w:shd w:val="clear" w:color="auto" w:fill="auto"/>
            <w:vAlign w:val="center"/>
          </w:tcPr>
          <w:p w:rsidR="004D7060" w:rsidRDefault="004D7060" w:rsidP="001B0FE3">
            <w:pPr>
              <w:pStyle w:val="Beschriftung"/>
              <w:spacing w:after="0"/>
              <w:jc w:val="center"/>
              <w:rPr>
                <w:sz w:val="20"/>
              </w:rPr>
            </w:pPr>
            <w:r>
              <w:rPr>
                <w:sz w:val="20"/>
              </w:rPr>
              <w:t>P: 280, 301+310, 302+352, 305, 351, 310,261,304+340</w:t>
            </w:r>
          </w:p>
        </w:tc>
      </w:tr>
      <w:tr w:rsidR="004D7060" w:rsidRPr="009C5E28" w:rsidTr="001B0FE3">
        <w:tc>
          <w:tcPr>
            <w:tcW w:w="1009" w:type="dxa"/>
            <w:tcBorders>
              <w:top w:val="single" w:sz="8" w:space="0" w:color="4F81BD"/>
              <w:left w:val="single" w:sz="8" w:space="0" w:color="4F81BD"/>
              <w:bottom w:val="single" w:sz="8" w:space="0" w:color="4F81BD"/>
            </w:tcBorders>
            <w:shd w:val="clear" w:color="auto" w:fill="auto"/>
            <w:vAlign w:val="center"/>
          </w:tcPr>
          <w:p w:rsidR="004D7060" w:rsidRPr="009C5E28" w:rsidRDefault="004D7060" w:rsidP="001B0FE3">
            <w:pPr>
              <w:spacing w:after="0"/>
              <w:jc w:val="center"/>
              <w:rPr>
                <w:b/>
                <w:bCs/>
              </w:rPr>
            </w:pPr>
            <w:r w:rsidRPr="0017115D">
              <w:rPr>
                <w:b/>
                <w:noProof/>
                <w:lang w:eastAsia="de-DE"/>
              </w:rPr>
              <w:drawing>
                <wp:inline distT="0" distB="0" distL="0" distR="0" wp14:anchorId="3A78A1D1" wp14:editId="40E4B2BB">
                  <wp:extent cx="504190" cy="504190"/>
                  <wp:effectExtent l="0" t="0" r="0" b="0"/>
                  <wp:docPr id="6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D7060" w:rsidRPr="009C5E28" w:rsidRDefault="004D7060" w:rsidP="001B0FE3">
            <w:pPr>
              <w:spacing w:after="0"/>
              <w:jc w:val="center"/>
            </w:pPr>
            <w:r>
              <w:rPr>
                <w:noProof/>
                <w:lang w:eastAsia="de-DE"/>
              </w:rPr>
              <w:drawing>
                <wp:inline distT="0" distB="0" distL="0" distR="0" wp14:anchorId="20A987AD" wp14:editId="22C6C63A">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D7060" w:rsidRPr="009C5E28" w:rsidRDefault="004D7060" w:rsidP="001B0FE3">
            <w:pPr>
              <w:spacing w:after="0"/>
              <w:jc w:val="center"/>
            </w:pPr>
            <w:r>
              <w:rPr>
                <w:noProof/>
                <w:lang w:eastAsia="de-DE"/>
              </w:rPr>
              <w:drawing>
                <wp:inline distT="0" distB="0" distL="0" distR="0" wp14:anchorId="3EAF5266" wp14:editId="66F8D6CA">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D7060" w:rsidRPr="009C5E28" w:rsidRDefault="004D7060" w:rsidP="001B0FE3">
            <w:pPr>
              <w:spacing w:after="0"/>
              <w:jc w:val="center"/>
            </w:pPr>
            <w:r>
              <w:rPr>
                <w:noProof/>
                <w:lang w:eastAsia="de-DE"/>
              </w:rPr>
              <w:drawing>
                <wp:inline distT="0" distB="0" distL="0" distR="0" wp14:anchorId="7354E503" wp14:editId="1AE297EE">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D7060" w:rsidRPr="009C5E28" w:rsidRDefault="004D7060" w:rsidP="001B0FE3">
            <w:pPr>
              <w:spacing w:after="0"/>
              <w:jc w:val="center"/>
            </w:pPr>
            <w:r>
              <w:rPr>
                <w:noProof/>
                <w:lang w:eastAsia="de-DE"/>
              </w:rPr>
              <w:drawing>
                <wp:inline distT="0" distB="0" distL="0" distR="0" wp14:anchorId="01EB5869" wp14:editId="3CAB6A8B">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D7060" w:rsidRPr="009C5E28" w:rsidRDefault="004D7060" w:rsidP="001B0FE3">
            <w:pPr>
              <w:spacing w:after="0"/>
              <w:jc w:val="center"/>
            </w:pPr>
            <w:r>
              <w:rPr>
                <w:noProof/>
                <w:lang w:eastAsia="de-DE"/>
              </w:rPr>
              <w:drawing>
                <wp:inline distT="0" distB="0" distL="0" distR="0" wp14:anchorId="17232B65" wp14:editId="3B448474">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D7060" w:rsidRPr="009C5E28" w:rsidRDefault="004D7060" w:rsidP="001B0FE3">
            <w:pPr>
              <w:spacing w:after="0"/>
              <w:jc w:val="center"/>
            </w:pPr>
            <w:r>
              <w:rPr>
                <w:noProof/>
                <w:lang w:eastAsia="de-DE"/>
              </w:rPr>
              <w:drawing>
                <wp:inline distT="0" distB="0" distL="0" distR="0" wp14:anchorId="4E9A29E9" wp14:editId="0B46AC56">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D7060" w:rsidRPr="009C5E28" w:rsidRDefault="004D7060" w:rsidP="001B0FE3">
            <w:pPr>
              <w:spacing w:after="0"/>
              <w:jc w:val="center"/>
            </w:pPr>
            <w:r w:rsidRPr="007975C9">
              <w:rPr>
                <w:noProof/>
                <w:lang w:eastAsia="de-DE"/>
              </w:rPr>
              <w:drawing>
                <wp:inline distT="0" distB="0" distL="0" distR="0" wp14:anchorId="314E06CE" wp14:editId="1967E315">
                  <wp:extent cx="511175" cy="511175"/>
                  <wp:effectExtent l="0" t="0" r="0" b="0"/>
                  <wp:docPr id="6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D7060" w:rsidRPr="009C5E28" w:rsidRDefault="004D7060" w:rsidP="001B0FE3">
            <w:pPr>
              <w:spacing w:after="0"/>
              <w:jc w:val="center"/>
            </w:pPr>
            <w:r>
              <w:rPr>
                <w:noProof/>
                <w:lang w:eastAsia="de-DE"/>
              </w:rPr>
              <w:drawing>
                <wp:inline distT="0" distB="0" distL="0" distR="0" wp14:anchorId="417F52BA" wp14:editId="4C9588F4">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4D7060" w:rsidRDefault="004D7060" w:rsidP="004D7060">
      <w:pPr>
        <w:tabs>
          <w:tab w:val="left" w:pos="1701"/>
          <w:tab w:val="left" w:pos="1985"/>
        </w:tabs>
        <w:ind w:left="1980" w:hanging="1980"/>
      </w:pPr>
    </w:p>
    <w:p w:rsidR="004D7060" w:rsidRDefault="004D7060" w:rsidP="004D7060">
      <w:pPr>
        <w:tabs>
          <w:tab w:val="left" w:pos="1701"/>
          <w:tab w:val="left" w:pos="1985"/>
        </w:tabs>
        <w:ind w:left="1980" w:hanging="1980"/>
      </w:pPr>
      <w:r>
        <w:t xml:space="preserve">Materialien: </w:t>
      </w:r>
      <w:r>
        <w:tab/>
      </w:r>
      <w:r>
        <w:tab/>
        <w:t>½ Hefewürfel, 200 mL warmes Wasser, 1L Gefrierbeutel mit Verschluss, Luftballon, Spritze (10 mL), Strohhalm, Reagenzgläser + Ständer, Becherglas (250 mL), Waage</w:t>
      </w:r>
    </w:p>
    <w:p w:rsidR="004D7060" w:rsidRPr="00ED07C2" w:rsidRDefault="004D7060" w:rsidP="004D7060">
      <w:pPr>
        <w:tabs>
          <w:tab w:val="left" w:pos="1701"/>
          <w:tab w:val="left" w:pos="1985"/>
        </w:tabs>
        <w:ind w:left="1980" w:hanging="1980"/>
      </w:pPr>
      <w:r>
        <w:t>Chemikalien:</w:t>
      </w:r>
      <w:r>
        <w:tab/>
      </w:r>
      <w:r>
        <w:tab/>
        <w:t>5 g Glucose, Salzsäure (w=20 %), Natriumhydrogencarbonat, Kalkwasser</w:t>
      </w:r>
    </w:p>
    <w:p w:rsidR="004D7060" w:rsidRDefault="004D7060" w:rsidP="004D7060">
      <w:pPr>
        <w:tabs>
          <w:tab w:val="left" w:pos="1701"/>
          <w:tab w:val="left" w:pos="1985"/>
        </w:tabs>
        <w:ind w:left="1980" w:hanging="1980"/>
      </w:pPr>
      <w:r>
        <w:t xml:space="preserve">Durchführung: </w:t>
      </w:r>
      <w:r>
        <w:tab/>
      </w:r>
      <w:r>
        <w:tab/>
        <w:t xml:space="preserve">I. Chemie der Backpulvers: Ein halbes Paket Backpulver wird in ein Reagenzglas gefüllt. Dazu werden ca. 10 mL Salzsäure (w= 20 %) gegeben und schnell mit einem Luftballon abgeschlossen. Das Gasvolumen des Luftballons kann anschließend über einen Strohhalm in ein Reagenzglas mit Kalkwasser eingeleitet werden.  </w:t>
      </w:r>
    </w:p>
    <w:p w:rsidR="004D7060" w:rsidRDefault="004D7060" w:rsidP="004D7060">
      <w:pPr>
        <w:tabs>
          <w:tab w:val="left" w:pos="1701"/>
          <w:tab w:val="left" w:pos="1985"/>
        </w:tabs>
        <w:ind w:left="1980" w:hanging="1980"/>
      </w:pPr>
      <w:r>
        <w:tab/>
      </w:r>
      <w:r>
        <w:tab/>
        <w:t xml:space="preserve">II: Chemie der Hefe: Ein 1 L Gefrierbeutel wird mit 200 mL warmen Wasser gefüllt. Ein ½ Hefewürfel wird in einem Becherglas mit warmen Wasser unter Rühren vollständig gelöst. In den wassergefüllten Gefrierbeutel werden zusätzlich 5 g Glucose und die gelöste Hefe aus dem Becherglas gegeben. Wichtig ist, dass das gesamte Luftvolumen aus dem Gefrierbeutel gesaugt wird und dieser anschließend luftdicht verschlossen wird. Die Einleitung in Kalkwasser kann hier analog erfolgen. </w:t>
      </w:r>
    </w:p>
    <w:p w:rsidR="004D7060" w:rsidRDefault="004D7060" w:rsidP="004D7060">
      <w:pPr>
        <w:tabs>
          <w:tab w:val="left" w:pos="1701"/>
          <w:tab w:val="left" w:pos="1985"/>
        </w:tabs>
        <w:ind w:left="1980" w:hanging="1980"/>
      </w:pPr>
      <w:r>
        <w:lastRenderedPageBreak/>
        <w:t>Beobachtung:</w:t>
      </w:r>
      <w:r>
        <w:tab/>
      </w:r>
      <w:r>
        <w:tab/>
        <w:t>Nach Zugabe von Salzsäure zum Backpulver ist eine Blasenbildung zu beobachten. Der auf dem Reagenzglas aufgesetzte Luftballon richtet sich langsam auf. Wird das aufgefangene Gas in Kalkwasser eingeführt ist ein weißer Niederschlag zu beobachten. Beim Hef</w:t>
      </w:r>
      <w:bookmarkStart w:id="1" w:name="_GoBack"/>
      <w:bookmarkEnd w:id="1"/>
      <w:r>
        <w:t xml:space="preserve">eversuch ist nach einigen Minuten ebenfalls eine Blasenbildung im Gefrierbeutel zu beobachten. Nach ca. 30 min hat sich der Gefrierbeutel deutlich „aufgebläht“. </w:t>
      </w:r>
      <w:proofErr w:type="gramStart"/>
      <w:r>
        <w:t>Eine Gas</w:t>
      </w:r>
      <w:proofErr w:type="gramEnd"/>
      <w:r>
        <w:t xml:space="preserve"> Probe trübt die Kalkwasser-Lösung ebenfalls, sodass auch hier ein weißer Niederschlag ausfällt.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3522"/>
      </w:tblGrid>
      <w:tr w:rsidR="004D7060" w:rsidTr="001B0FE3">
        <w:tc>
          <w:tcPr>
            <w:tcW w:w="3586" w:type="dxa"/>
          </w:tcPr>
          <w:p w:rsidR="004D7060" w:rsidRDefault="004D7060" w:rsidP="001B0FE3">
            <w:pPr>
              <w:tabs>
                <w:tab w:val="left" w:pos="1701"/>
                <w:tab w:val="left" w:pos="1985"/>
              </w:tabs>
            </w:pPr>
            <w:r>
              <w:rPr>
                <w:noProof/>
                <w:lang w:eastAsia="de-DE"/>
              </w:rPr>
              <w:drawing>
                <wp:inline distT="0" distB="0" distL="0" distR="0" wp14:anchorId="1FB3DB40" wp14:editId="51EEDB39">
                  <wp:extent cx="2400000" cy="1800000"/>
                  <wp:effectExtent l="0" t="4762"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16-07-25 13.08.16.jpg"/>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rot="5400000">
                            <a:off x="0" y="0"/>
                            <a:ext cx="2400000" cy="1800000"/>
                          </a:xfrm>
                          <a:prstGeom prst="rect">
                            <a:avLst/>
                          </a:prstGeom>
                        </pic:spPr>
                      </pic:pic>
                    </a:graphicData>
                  </a:graphic>
                </wp:inline>
              </w:drawing>
            </w:r>
          </w:p>
        </w:tc>
        <w:tc>
          <w:tcPr>
            <w:tcW w:w="3496" w:type="dxa"/>
          </w:tcPr>
          <w:p w:rsidR="004D7060" w:rsidRDefault="004D7060" w:rsidP="001B0FE3">
            <w:pPr>
              <w:tabs>
                <w:tab w:val="left" w:pos="1701"/>
                <w:tab w:val="left" w:pos="1985"/>
              </w:tabs>
            </w:pPr>
            <w:r>
              <w:rPr>
                <w:noProof/>
                <w:lang w:eastAsia="de-DE"/>
              </w:rPr>
              <w:drawing>
                <wp:inline distT="0" distB="0" distL="0" distR="0" wp14:anchorId="535D03A8" wp14:editId="326217BA">
                  <wp:extent cx="2400000" cy="1800000"/>
                  <wp:effectExtent l="0" t="4762"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6-07-25 13.10.23.jpg"/>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rot="5400000">
                            <a:off x="0" y="0"/>
                            <a:ext cx="2400000" cy="1800000"/>
                          </a:xfrm>
                          <a:prstGeom prst="rect">
                            <a:avLst/>
                          </a:prstGeom>
                        </pic:spPr>
                      </pic:pic>
                    </a:graphicData>
                  </a:graphic>
                </wp:inline>
              </w:drawing>
            </w:r>
          </w:p>
        </w:tc>
      </w:tr>
      <w:tr w:rsidR="004D7060" w:rsidTr="001B0FE3">
        <w:tc>
          <w:tcPr>
            <w:tcW w:w="7082" w:type="dxa"/>
            <w:gridSpan w:val="2"/>
          </w:tcPr>
          <w:p w:rsidR="004D7060" w:rsidRDefault="004D7060" w:rsidP="001B0FE3">
            <w:pPr>
              <w:pStyle w:val="Beschriftung"/>
              <w:jc w:val="center"/>
            </w:pPr>
            <w:r>
              <w:t xml:space="preserve">Abb. </w:t>
            </w:r>
            <w:r>
              <w:fldChar w:fldCharType="begin"/>
            </w:r>
            <w:r>
              <w:instrText xml:space="preserve"> SEQ Abb. \* ARABIC </w:instrText>
            </w:r>
            <w:r>
              <w:fldChar w:fldCharType="separate"/>
            </w:r>
            <w:r>
              <w:rPr>
                <w:noProof/>
              </w:rPr>
              <w:t>2</w:t>
            </w:r>
            <w:r>
              <w:rPr>
                <w:noProof/>
              </w:rPr>
              <w:fldChar w:fldCharType="end"/>
            </w:r>
            <w:r>
              <w:t xml:space="preserve"> – Backpulver nach (rechts) und vor (links) der Zugabe von Salzsäure.</w:t>
            </w:r>
          </w:p>
          <w:p w:rsidR="004D7060" w:rsidRDefault="004D7060" w:rsidP="001B0FE3">
            <w:pPr>
              <w:keepNext/>
              <w:tabs>
                <w:tab w:val="left" w:pos="1701"/>
                <w:tab w:val="left" w:pos="1985"/>
              </w:tabs>
            </w:pPr>
          </w:p>
          <w:tbl>
            <w:tblPr>
              <w:tblStyle w:val="Tabellenraster"/>
              <w:tblW w:w="6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14"/>
              <w:gridCol w:w="14"/>
            </w:tblGrid>
            <w:tr w:rsidR="004D7060" w:rsidTr="001B0FE3">
              <w:tc>
                <w:tcPr>
                  <w:tcW w:w="3252" w:type="dxa"/>
                </w:tcPr>
                <w:p w:rsidR="004D7060" w:rsidRDefault="004D7060" w:rsidP="001B0FE3">
                  <w:pPr>
                    <w:keepNext/>
                    <w:tabs>
                      <w:tab w:val="left" w:pos="1701"/>
                      <w:tab w:val="left" w:pos="1985"/>
                    </w:tabs>
                  </w:pPr>
                  <w:r>
                    <w:rPr>
                      <w:noProof/>
                      <w:lang w:eastAsia="de-DE"/>
                    </w:rPr>
                    <w:drawing>
                      <wp:inline distT="0" distB="0" distL="0" distR="0" wp14:anchorId="78351049" wp14:editId="26BEB8EE">
                        <wp:extent cx="2544001" cy="1908000"/>
                        <wp:effectExtent l="0" t="5715" r="3175" b="317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6-07-25 13.23.48.jpg"/>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rot="5400000">
                                  <a:off x="0" y="0"/>
                                  <a:ext cx="2544001" cy="1908000"/>
                                </a:xfrm>
                                <a:prstGeom prst="rect">
                                  <a:avLst/>
                                </a:prstGeom>
                              </pic:spPr>
                            </pic:pic>
                          </a:graphicData>
                        </a:graphic>
                      </wp:inline>
                    </w:drawing>
                  </w:r>
                </w:p>
              </w:tc>
              <w:tc>
                <w:tcPr>
                  <w:tcW w:w="3628" w:type="dxa"/>
                  <w:gridSpan w:val="2"/>
                </w:tcPr>
                <w:p w:rsidR="004D7060" w:rsidRDefault="004D7060" w:rsidP="001B0FE3">
                  <w:pPr>
                    <w:keepNext/>
                    <w:tabs>
                      <w:tab w:val="left" w:pos="1701"/>
                      <w:tab w:val="left" w:pos="1985"/>
                    </w:tabs>
                  </w:pPr>
                  <w:r>
                    <w:rPr>
                      <w:noProof/>
                      <w:lang w:eastAsia="de-DE"/>
                    </w:rPr>
                    <w:drawing>
                      <wp:inline distT="0" distB="0" distL="0" distR="0" wp14:anchorId="7DC95866" wp14:editId="30514E5F">
                        <wp:extent cx="2544000" cy="1908000"/>
                        <wp:effectExtent l="0" t="5715" r="3175" b="317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6-07-25 13.24.07.jpg"/>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rot="5400000">
                                  <a:off x="0" y="0"/>
                                  <a:ext cx="2544000" cy="1908000"/>
                                </a:xfrm>
                                <a:prstGeom prst="rect">
                                  <a:avLst/>
                                </a:prstGeom>
                              </pic:spPr>
                            </pic:pic>
                          </a:graphicData>
                        </a:graphic>
                      </wp:inline>
                    </w:drawing>
                  </w:r>
                </w:p>
              </w:tc>
            </w:tr>
            <w:tr w:rsidR="004D7060" w:rsidTr="001B0FE3">
              <w:trPr>
                <w:gridAfter w:val="1"/>
                <w:wAfter w:w="14" w:type="dxa"/>
              </w:trPr>
              <w:tc>
                <w:tcPr>
                  <w:tcW w:w="6866" w:type="dxa"/>
                  <w:gridSpan w:val="2"/>
                </w:tcPr>
                <w:p w:rsidR="004D7060" w:rsidRDefault="004D7060" w:rsidP="001B0FE3">
                  <w:pPr>
                    <w:keepNext/>
                    <w:tabs>
                      <w:tab w:val="left" w:pos="1701"/>
                      <w:tab w:val="left" w:pos="1985"/>
                    </w:tabs>
                    <w:jc w:val="center"/>
                  </w:pPr>
                  <w:r w:rsidRPr="001330A6">
                    <w:rPr>
                      <w:sz w:val="18"/>
                    </w:rPr>
                    <w:t xml:space="preserve">Abb. </w:t>
                  </w:r>
                  <w:r w:rsidRPr="001330A6">
                    <w:rPr>
                      <w:sz w:val="18"/>
                    </w:rPr>
                    <w:fldChar w:fldCharType="begin"/>
                  </w:r>
                  <w:r w:rsidRPr="001330A6">
                    <w:rPr>
                      <w:sz w:val="18"/>
                    </w:rPr>
                    <w:instrText xml:space="preserve"> SEQ Abb. \* ARABIC </w:instrText>
                  </w:r>
                  <w:r w:rsidRPr="001330A6">
                    <w:rPr>
                      <w:sz w:val="18"/>
                    </w:rPr>
                    <w:fldChar w:fldCharType="separate"/>
                  </w:r>
                  <w:r>
                    <w:rPr>
                      <w:noProof/>
                      <w:sz w:val="18"/>
                    </w:rPr>
                    <w:t>3</w:t>
                  </w:r>
                  <w:r w:rsidRPr="001330A6">
                    <w:rPr>
                      <w:sz w:val="18"/>
                    </w:rPr>
                    <w:fldChar w:fldCharType="end"/>
                  </w:r>
                  <w:r>
                    <w:rPr>
                      <w:sz w:val="18"/>
                    </w:rPr>
                    <w:t xml:space="preserve"> – Einleitung des entstandenen Gas in Kalkwasser, Bildung eines weißen Niederschlags nach der Gaseinleitung (rechts).</w:t>
                  </w:r>
                </w:p>
              </w:tc>
            </w:tr>
          </w:tbl>
          <w:p w:rsidR="004D7060" w:rsidRDefault="004D7060" w:rsidP="001B0FE3">
            <w:pPr>
              <w:pStyle w:val="Beschriftung"/>
            </w:pPr>
          </w:p>
        </w:tc>
      </w:tr>
    </w:tbl>
    <w:p w:rsidR="004D7060" w:rsidRDefault="004D7060" w:rsidP="004D7060"/>
    <w:tbl>
      <w:tblPr>
        <w:tblStyle w:val="Tabellenraster"/>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4003"/>
      </w:tblGrid>
      <w:tr w:rsidR="004D7060" w:rsidTr="001B0FE3">
        <w:tc>
          <w:tcPr>
            <w:tcW w:w="3006" w:type="dxa"/>
          </w:tcPr>
          <w:p w:rsidR="004D7060" w:rsidRDefault="004D7060" w:rsidP="001B0FE3">
            <w:r>
              <w:rPr>
                <w:noProof/>
                <w:lang w:eastAsia="de-DE"/>
              </w:rPr>
              <w:lastRenderedPageBreak/>
              <w:drawing>
                <wp:inline distT="0" distB="0" distL="0" distR="0" wp14:anchorId="3A385C2B" wp14:editId="1F34A64E">
                  <wp:extent cx="1872921" cy="1800000"/>
                  <wp:effectExtent l="0" t="1587"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6-07-25 14.34.03.jpg"/>
                          <pic:cNvPicPr/>
                        </pic:nvPicPr>
                        <pic:blipFill rotWithShape="1">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a:ext>
                            </a:extLst>
                          </a:blip>
                          <a:srcRect l="11294" r="10668"/>
                          <a:stretch/>
                        </pic:blipFill>
                        <pic:spPr bwMode="auto">
                          <a:xfrm rot="5400000">
                            <a:off x="0" y="0"/>
                            <a:ext cx="1872921"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34" w:type="dxa"/>
          </w:tcPr>
          <w:p w:rsidR="004D7060" w:rsidRDefault="004D7060" w:rsidP="001B0FE3">
            <w:r>
              <w:rPr>
                <w:noProof/>
                <w:lang w:eastAsia="de-DE"/>
              </w:rPr>
              <w:drawing>
                <wp:inline distT="0" distB="0" distL="0" distR="0" wp14:anchorId="41DCB928" wp14:editId="4BB7FD8F">
                  <wp:extent cx="2496000" cy="18720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16-07-25 15.10.58.jpg"/>
                          <pic:cNvPicPr/>
                        </pic:nvPicPr>
                        <pic:blipFill>
                          <a:blip r:embed="rId24" cstate="print">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496000" cy="1872000"/>
                          </a:xfrm>
                          <a:prstGeom prst="rect">
                            <a:avLst/>
                          </a:prstGeom>
                        </pic:spPr>
                      </pic:pic>
                    </a:graphicData>
                  </a:graphic>
                </wp:inline>
              </w:drawing>
            </w:r>
          </w:p>
        </w:tc>
      </w:tr>
      <w:tr w:rsidR="004D7060" w:rsidTr="001B0FE3">
        <w:tc>
          <w:tcPr>
            <w:tcW w:w="6940" w:type="dxa"/>
            <w:gridSpan w:val="2"/>
          </w:tcPr>
          <w:p w:rsidR="004D7060" w:rsidRPr="000476A9" w:rsidRDefault="004D7060" w:rsidP="001B0FE3">
            <w:pPr>
              <w:jc w:val="center"/>
              <w:rPr>
                <w:sz w:val="18"/>
              </w:rPr>
            </w:pPr>
            <w:r w:rsidRPr="000476A9">
              <w:rPr>
                <w:sz w:val="18"/>
              </w:rPr>
              <w:t xml:space="preserve">Abb. </w:t>
            </w:r>
            <w:r w:rsidRPr="000476A9">
              <w:rPr>
                <w:sz w:val="18"/>
              </w:rPr>
              <w:fldChar w:fldCharType="begin"/>
            </w:r>
            <w:r w:rsidRPr="000476A9">
              <w:rPr>
                <w:sz w:val="18"/>
              </w:rPr>
              <w:instrText xml:space="preserve"> SEQ Abb. \* ARABIC </w:instrText>
            </w:r>
            <w:r w:rsidRPr="000476A9">
              <w:rPr>
                <w:sz w:val="18"/>
              </w:rPr>
              <w:fldChar w:fldCharType="separate"/>
            </w:r>
            <w:r>
              <w:rPr>
                <w:noProof/>
                <w:sz w:val="18"/>
              </w:rPr>
              <w:t>4</w:t>
            </w:r>
            <w:r w:rsidRPr="000476A9">
              <w:rPr>
                <w:sz w:val="18"/>
              </w:rPr>
              <w:fldChar w:fldCharType="end"/>
            </w:r>
            <w:r w:rsidRPr="000476A9">
              <w:rPr>
                <w:sz w:val="18"/>
              </w:rPr>
              <w:t xml:space="preserve"> – Gefrie</w:t>
            </w:r>
            <w:r>
              <w:rPr>
                <w:sz w:val="18"/>
              </w:rPr>
              <w:t>r</w:t>
            </w:r>
            <w:r w:rsidRPr="000476A9">
              <w:rPr>
                <w:sz w:val="18"/>
              </w:rPr>
              <w:t xml:space="preserve">beutel </w:t>
            </w:r>
            <w:r>
              <w:rPr>
                <w:sz w:val="18"/>
              </w:rPr>
              <w:t xml:space="preserve">mit Hefe und Glucose </w:t>
            </w:r>
            <w:r w:rsidRPr="000476A9">
              <w:rPr>
                <w:sz w:val="18"/>
              </w:rPr>
              <w:t>vor (links) und nach (rechts) 30 min.</w:t>
            </w:r>
          </w:p>
        </w:tc>
      </w:tr>
    </w:tbl>
    <w:p w:rsidR="004D7060" w:rsidRPr="00D425DB" w:rsidRDefault="004D7060" w:rsidP="004D7060"/>
    <w:p w:rsidR="004D7060" w:rsidRDefault="004D7060" w:rsidP="004D7060">
      <w:pPr>
        <w:tabs>
          <w:tab w:val="left" w:pos="1701"/>
          <w:tab w:val="left" w:pos="1985"/>
        </w:tabs>
        <w:ind w:left="2124" w:hanging="2124"/>
      </w:pPr>
      <w:r>
        <w:t>Deutung:</w:t>
      </w:r>
      <w:r>
        <w:tab/>
      </w:r>
      <w:r>
        <w:tab/>
      </w:r>
      <w:r>
        <w:tab/>
        <w:t>In Backpulver sind Natriumhydrogencarbonat und Säurezusätze enthalten. Wird Natriumhydrogencarbonat mit Salzsäure versetzt tritt eine analoge Reaktion wie beim Backen. Die Reaktionsgleich kann als Wortgleichung erfolgen: Säure + Natriumhydrogencarbonat reagiert zu Wasser und Kohlenstoffdioxid. Gleichung:</w:t>
      </w:r>
    </w:p>
    <w:p w:rsidR="004D7060" w:rsidRDefault="004D7060" w:rsidP="004D7060">
      <w:pPr>
        <w:tabs>
          <w:tab w:val="left" w:pos="1701"/>
          <w:tab w:val="left" w:pos="1985"/>
        </w:tabs>
        <w:ind w:left="2124" w:hanging="2124"/>
      </w:pPr>
      <w:r>
        <w:tab/>
      </w:r>
      <w:r>
        <w:tab/>
      </w:r>
      <w:r>
        <w:tab/>
      </w:r>
      <m:oMath>
        <m:sSub>
          <m:sSubPr>
            <m:ctrlPr>
              <w:rPr>
                <w:rFonts w:ascii="Cambria Math" w:hAnsi="Cambria Math"/>
              </w:rPr>
            </m:ctrlPr>
          </m:sSubPr>
          <m:e>
            <m:r>
              <m:rPr>
                <m:sty m:val="p"/>
              </m:rPr>
              <w:rPr>
                <w:rFonts w:ascii="Cambria Math" w:hAnsi="Cambria Math"/>
              </w:rPr>
              <m:t>HCl</m:t>
            </m:r>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NaHCO</m:t>
                </m:r>
              </m:e>
              <m:sub>
                <m:r>
                  <m:rPr>
                    <m:sty m:val="p"/>
                  </m:rPr>
                  <w:rPr>
                    <w:rFonts w:ascii="Cambria Math" w:hAnsi="Cambria Math"/>
                  </w:rPr>
                  <m:t>3</m:t>
                </m:r>
              </m:sub>
            </m:sSub>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Na</m:t>
            </m:r>
          </m:e>
          <m:sub>
            <m:r>
              <m:rPr>
                <m:sty m:val="p"/>
              </m:rPr>
              <w:rPr>
                <w:rFonts w:ascii="Cambria Math" w:hAnsi="Cambria Math"/>
              </w:rPr>
              <m:t>(aq)</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Cl</m:t>
            </m:r>
          </m:e>
          <m:sub>
            <m:r>
              <m:rPr>
                <m:sty m:val="p"/>
              </m:rPr>
              <w:rPr>
                <w:rFonts w:ascii="Cambria Math" w:hAnsi="Cambria Math"/>
              </w:rPr>
              <m:t>(aq)</m:t>
            </m:r>
          </m:sub>
          <m:sup>
            <m:r>
              <m:rPr>
                <m:sty m:val="p"/>
              </m:rPr>
              <w:rPr>
                <w:rFonts w:ascii="Cambria Math" w:hAnsi="Cambria Math"/>
              </w:rPr>
              <m:t>-</m:t>
            </m:r>
          </m:sup>
        </m:sSubSup>
      </m:oMath>
    </w:p>
    <w:p w:rsidR="004D7060" w:rsidRDefault="004D7060" w:rsidP="004D7060">
      <w:pPr>
        <w:tabs>
          <w:tab w:val="left" w:pos="1701"/>
          <w:tab w:val="left" w:pos="1985"/>
        </w:tabs>
        <w:ind w:left="2124" w:hanging="2124"/>
      </w:pPr>
      <w:r>
        <w:tab/>
      </w:r>
      <w:r>
        <w:tab/>
      </w:r>
      <w:r>
        <w:tab/>
        <w:t>Der Nachweis erfolgt über Kalkwasser, wobei der weiße Niederschlag Calciumcarbonat darstellt. Gleichung:</w:t>
      </w:r>
    </w:p>
    <w:p w:rsidR="004D7060" w:rsidRPr="00AB2532" w:rsidRDefault="004D7060" w:rsidP="004D7060">
      <w:pPr>
        <w:tabs>
          <w:tab w:val="left" w:pos="1701"/>
          <w:tab w:val="left" w:pos="1985"/>
        </w:tabs>
        <w:ind w:left="2124" w:hanging="2124"/>
      </w:pPr>
      <m:oMathPara>
        <m:oMathParaPr>
          <m:jc m:val="left"/>
        </m:oMathParaPr>
        <m:oMath>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CO</m:t>
                  </m:r>
                </m:e>
                <m:sub>
                  <m:r>
                    <m:rPr>
                      <m:sty m:val="p"/>
                    </m:rPr>
                    <w:rPr>
                      <w:rFonts w:ascii="Cambria Math" w:hAnsi="Cambria Math"/>
                    </w:rPr>
                    <m:t>2</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Ca(OH)</m:t>
                  </m:r>
                </m:e>
                <m:sub>
                  <m:r>
                    <m:rPr>
                      <m:sty m:val="p"/>
                    </m:rPr>
                    <w:rPr>
                      <w:rFonts w:ascii="Cambria Math" w:hAnsi="Cambria Math"/>
                    </w:rPr>
                    <m:t>2</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  CaCO</m:t>
                  </m:r>
                </m:e>
                <m:sub>
                  <m:r>
                    <m:rPr>
                      <m:sty m:val="p"/>
                    </m:rPr>
                    <w:rPr>
                      <w:rFonts w:ascii="Cambria Math" w:hAnsi="Cambria Math"/>
                    </w:rPr>
                    <m:t>3</m:t>
                  </m:r>
                </m:sub>
              </m:sSub>
            </m:e>
            <m:sub>
              <m:r>
                <m:rPr>
                  <m:sty m:val="p"/>
                </m:rPr>
                <w:rPr>
                  <w:rFonts w:ascii="Cambria Math" w:hAnsi="Cambria Math"/>
                </w:rPr>
                <m:t>(s)</m:t>
              </m:r>
            </m:sub>
          </m:sSub>
          <m:r>
            <m:rPr>
              <m:sty m:val="p"/>
            </m:rPr>
            <w:rPr>
              <w:rFonts w:ascii="Cambria Math" w:hAnsi="Cambria Math"/>
            </w:rPr>
            <m:t>+</m:t>
          </m:r>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m:rPr>
                  <m:nor/>
                </m:rPr>
                <m:t> </m:t>
              </m:r>
            </m:e>
            <m:sub>
              <m:r>
                <m:rPr>
                  <m:sty m:val="p"/>
                </m:rPr>
                <w:rPr>
                  <w:rFonts w:ascii="Cambria Math" w:hAnsi="Cambria Math"/>
                </w:rPr>
                <m:t>(l)</m:t>
              </m:r>
            </m:sub>
          </m:sSub>
        </m:oMath>
      </m:oMathPara>
    </w:p>
    <w:p w:rsidR="004D7060" w:rsidRDefault="004D7060" w:rsidP="004D7060">
      <w:pPr>
        <w:tabs>
          <w:tab w:val="left" w:pos="1701"/>
          <w:tab w:val="left" w:pos="1985"/>
        </w:tabs>
        <w:ind w:left="2124" w:hanging="2124"/>
      </w:pPr>
      <w:r>
        <w:tab/>
      </w:r>
      <w:r>
        <w:tab/>
      </w:r>
      <w:r>
        <w:tab/>
        <w:t xml:space="preserve"> Calciumcarbonat kennen die SuS als Kalk aus dem Alltag. Der Hefeversuch könnte in dieser Klassenstufe dahingehend gedeutet werden, dass die Hefe den Zucker verstoffwechselt und dabei Kohlenstoffdioxid freisetzt, womit die Blasenbildung erklärt erden kann lässt. Der Nachweis in Kalkwasser lässt sich hier analog erklären. Das warme Wasser wird für eine optimale Arbeit der Hefe benötigt.</w:t>
      </w:r>
    </w:p>
    <w:p w:rsidR="004D7060" w:rsidRPr="00AB2532" w:rsidRDefault="004D7060" w:rsidP="004D7060">
      <w:pPr>
        <w:tabs>
          <w:tab w:val="left" w:pos="1701"/>
          <w:tab w:val="left" w:pos="1985"/>
        </w:tabs>
        <w:ind w:left="2124" w:hanging="2124"/>
      </w:pPr>
      <w:r>
        <w:tab/>
      </w:r>
      <w:r>
        <w:tab/>
      </w:r>
      <w:r>
        <w:tab/>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Hefe</m:t>
                </m:r>
              </m:e>
            </m:groupChr>
          </m:e>
        </m:box>
        <m:r>
          <w:rPr>
            <w:rFonts w:ascii="Cambria Math" w:hAnsi="Cambria Math"/>
          </w:rPr>
          <m:t xml:space="preserve">2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6</m:t>
            </m:r>
          </m:sub>
        </m:sSub>
        <m:r>
          <m:rPr>
            <m:sty m:val="p"/>
          </m:rPr>
          <w:rPr>
            <w:rFonts w:ascii="Cambria Math" w:hAnsi="Cambria Math"/>
          </w:rPr>
          <m:t xml:space="preserve">O+2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sub>
            <m:r>
              <m:rPr>
                <m:sty m:val="p"/>
              </m:rPr>
              <w:rPr>
                <w:rFonts w:ascii="Cambria Math" w:hAnsi="Cambria Math"/>
              </w:rPr>
              <m:t>(g)</m:t>
            </m:r>
          </m:sub>
        </m:sSub>
      </m:oMath>
    </w:p>
    <w:p w:rsidR="004D7060" w:rsidRDefault="004D7060" w:rsidP="004D7060">
      <w:pPr>
        <w:spacing w:line="276" w:lineRule="auto"/>
        <w:jc w:val="left"/>
      </w:pPr>
      <w:r>
        <w:t>Entsorgung:</w:t>
      </w:r>
      <w:r>
        <w:tab/>
        <w:t xml:space="preserve">           </w:t>
      </w:r>
      <w:r>
        <w:tab/>
        <w:t xml:space="preserve">Die Salzsäure und die Kalkwasser-Lösung können nach Neutralisation </w:t>
      </w:r>
      <w:proofErr w:type="spellStart"/>
      <w:r>
        <w:t>un</w:t>
      </w:r>
      <w:proofErr w:type="spellEnd"/>
      <w:r>
        <w:t>-</w:t>
      </w:r>
      <w:r>
        <w:tab/>
      </w:r>
      <w:r>
        <w:tab/>
      </w:r>
      <w:r>
        <w:tab/>
      </w:r>
      <w:proofErr w:type="spellStart"/>
      <w:r>
        <w:t>ter</w:t>
      </w:r>
      <w:proofErr w:type="spellEnd"/>
      <w:r>
        <w:t xml:space="preserve"> Spülen mit Wasser über den Ausguss entsorgt werden. </w:t>
      </w:r>
    </w:p>
    <w:p w:rsidR="004D7060" w:rsidRPr="00C81BEF" w:rsidRDefault="004D7060" w:rsidP="004D7060">
      <w:pPr>
        <w:spacing w:line="276" w:lineRule="auto"/>
        <w:jc w:val="left"/>
      </w:pPr>
      <w:r>
        <w:t>Literatur:</w:t>
      </w:r>
      <w:r>
        <w:tab/>
      </w:r>
      <w:r>
        <w:tab/>
        <w:t>-</w:t>
      </w:r>
    </w:p>
    <w:p w:rsidR="004D7060" w:rsidRDefault="004D7060" w:rsidP="004D7060">
      <w:pPr>
        <w:tabs>
          <w:tab w:val="left" w:pos="1701"/>
          <w:tab w:val="left" w:pos="1985"/>
        </w:tabs>
      </w:pPr>
    </w:p>
    <w:p w:rsidR="004D7060" w:rsidRDefault="004D7060" w:rsidP="004D7060">
      <w:pPr>
        <w:tabs>
          <w:tab w:val="left" w:pos="1701"/>
          <w:tab w:val="left" w:pos="1985"/>
        </w:tabs>
        <w:ind w:left="1980" w:hanging="1980"/>
      </w:pPr>
      <w:r>
        <w:rPr>
          <w:noProof/>
          <w:lang w:eastAsia="de-DE"/>
        </w:rPr>
        <w:lastRenderedPageBreak/>
        <mc:AlternateContent>
          <mc:Choice Requires="wps">
            <w:drawing>
              <wp:inline distT="0" distB="0" distL="0" distR="0" wp14:anchorId="6C874278" wp14:editId="1C0DE889">
                <wp:extent cx="5873115" cy="1253329"/>
                <wp:effectExtent l="0" t="0" r="13335" b="23495"/>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53329"/>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7060" w:rsidRPr="00F31EBF" w:rsidRDefault="004D7060" w:rsidP="004D7060">
                            <w:r>
                              <w:t xml:space="preserve">Dieser Versuch könnte als Anschlussversuch an den Schülerversuch V2: „Kohlenstoffdioxid in der Atemluft“ dienen, um einen weiteren lebensweltlichen Bezug aufzuzeigen. Der 1. Versuchsteil mit dem Backpulver kann direkt in der Stunde vorgeführt werden und erfordert keine große Vorbereitung. Der Hefeversuch benötigt für ein gutes Ergebnis 30 bis 45 min, sodass dieser eventuell bereits vor der Stunde angesetzt werden könnte. </w:t>
                            </w:r>
                          </w:p>
                        </w:txbxContent>
                      </wps:txbx>
                      <wps:bodyPr rot="0" vert="horz" wrap="square" lIns="91440" tIns="45720" rIns="91440" bIns="45720" anchor="t" anchorCtr="0" upright="1">
                        <a:noAutofit/>
                      </wps:bodyPr>
                    </wps:wsp>
                  </a:graphicData>
                </a:graphic>
              </wp:inline>
            </w:drawing>
          </mc:Choice>
          <mc:Fallback>
            <w:pict>
              <v:shape w14:anchorId="6C874278" id="Text Box 131" o:spid="_x0000_s1027" type="#_x0000_t202" style="width:462.45pt;height: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" fillcolor="white [3201]" strokecolor="#ed7d31 [3205]" strokeweight="1pt">
                <v:stroke dashstyle="dash"/>
                <v:shadow color="#868686"/>
                <v:textbox>
                  <w:txbxContent>
                    <w:p w:rsidR="004D7060" w:rsidRPr="00F31EBF" w:rsidRDefault="004D7060" w:rsidP="004D7060">
                      <w:r>
                        <w:t xml:space="preserve">Dieser Versuch könnte als Anschlussversuch an den Schülerversuch V2: „Kohlenstoffdioxid in der Atemluft“ dienen, um einen weiteren lebensweltlichen Bezug aufzuzeigen. Der 1. Versuchsteil mit dem Backpulver kann direkt in der Stunde vorgeführt werden und erfordert keine große Vorbereitung. Der Hefeversuch benötigt für ein gutes Ergebnis 30 bis 45 min, sodass dieser eventuell bereits vor der Stunde angesetzt werden könnte. </w:t>
                      </w:r>
                    </w:p>
                  </w:txbxContent>
                </v:textbox>
                <w10:anchorlock/>
              </v:shape>
            </w:pict>
          </mc:Fallback>
        </mc:AlternateContent>
      </w:r>
    </w:p>
    <w:p w:rsidR="004D7060" w:rsidRDefault="004D7060"/>
    <w:p w:rsidR="004D7060" w:rsidRDefault="004D7060" w:rsidP="004D7060"/>
    <w:p w:rsidR="00AF35AE" w:rsidRPr="004D7060" w:rsidRDefault="004D7060" w:rsidP="004D7060">
      <w:pPr>
        <w:tabs>
          <w:tab w:val="left" w:pos="5740"/>
        </w:tabs>
      </w:pPr>
      <w:r>
        <w:tab/>
      </w:r>
    </w:p>
    <w:sectPr w:rsidR="00AF35AE" w:rsidRPr="004D706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060"/>
    <w:rsid w:val="004D7060"/>
    <w:rsid w:val="00B67E68"/>
    <w:rsid w:val="00ED48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37D60-A4F8-405B-9B98-ACF0B659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7060"/>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4D7060"/>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4D7060"/>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4D7060"/>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4D7060"/>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4D7060"/>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4D7060"/>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4D706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4D706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4D706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D7060"/>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4D7060"/>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4D7060"/>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4D7060"/>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4D7060"/>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4D7060"/>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4D706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4D706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4D7060"/>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4D7060"/>
    <w:pPr>
      <w:spacing w:line="240" w:lineRule="auto"/>
    </w:pPr>
    <w:rPr>
      <w:bCs/>
      <w:color w:val="auto"/>
      <w:sz w:val="18"/>
      <w:szCs w:val="18"/>
    </w:rPr>
  </w:style>
  <w:style w:type="table" w:styleId="Tabellenraster">
    <w:name w:val="Table Grid"/>
    <w:basedOn w:val="NormaleTabelle"/>
    <w:uiPriority w:val="59"/>
    <w:rsid w:val="004D7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3.jpeg"/><Relationship Id="rId12" Type="http://schemas.openxmlformats.org/officeDocument/2006/relationships/image" Target="media/image8.png"/><Relationship Id="rId17" Type="http://schemas.microsoft.com/office/2007/relationships/hdphoto" Target="media/hdphoto2.wdp"/><Relationship Id="rId25"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png"/><Relationship Id="rId5" Type="http://schemas.openxmlformats.org/officeDocument/2006/relationships/image" Target="media/image1.png"/><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image" Target="media/image6.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474</Words>
  <Characters>2990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Lüert</dc:creator>
  <cp:keywords/>
  <dc:description/>
  <cp:lastModifiedBy>Daniel Lüert</cp:lastModifiedBy>
  <cp:revision>1</cp:revision>
  <dcterms:created xsi:type="dcterms:W3CDTF">2016-08-10T13:18:00Z</dcterms:created>
  <dcterms:modified xsi:type="dcterms:W3CDTF">2016-08-10T13:19:00Z</dcterms:modified>
</cp:coreProperties>
</file>