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F1E" w:rsidRDefault="00F74F1E" w:rsidP="00F74F1E">
      <w:pPr>
        <w:pStyle w:val="berschrift1"/>
        <w:numPr>
          <w:ilvl w:val="0"/>
          <w:numId w:val="0"/>
        </w:numPr>
        <w:ind w:left="432" w:hanging="432"/>
      </w:pPr>
      <w:bookmarkStart w:id="0" w:name="_Toc363993053"/>
      <w:r w:rsidRPr="00203EDC">
        <w:t>V 4 – Kristalle züchten</w:t>
      </w:r>
      <w:bookmarkEnd w:id="0"/>
      <w:r w:rsidRPr="00203EDC">
        <w:t xml:space="preserve"> </w:t>
      </w:r>
    </w:p>
    <w:p w:rsidR="00F74F1E" w:rsidRPr="00F74F1E" w:rsidRDefault="00F74F1E" w:rsidP="00F74F1E">
      <w:r w:rsidRPr="00203EDC">
        <w:rPr>
          <w:noProof/>
          <w:color w:val="auto"/>
          <w:lang w:eastAsia="de-DE"/>
        </w:rPr>
        <mc:AlternateContent>
          <mc:Choice Requires="wps">
            <w:drawing>
              <wp:anchor distT="0" distB="0" distL="114300" distR="114300" simplePos="0" relativeHeight="251659264" behindDoc="0" locked="0" layoutInCell="1" allowOverlap="1" wp14:anchorId="06CCD23F" wp14:editId="7AAA6FA2">
                <wp:simplePos x="0" y="0"/>
                <wp:positionH relativeFrom="column">
                  <wp:posOffset>-53340</wp:posOffset>
                </wp:positionH>
                <wp:positionV relativeFrom="paragraph">
                  <wp:posOffset>22860</wp:posOffset>
                </wp:positionV>
                <wp:extent cx="5873115" cy="1069340"/>
                <wp:effectExtent l="0" t="0" r="13335" b="16510"/>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934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F1E" w:rsidRPr="006F7205" w:rsidRDefault="00F74F1E" w:rsidP="00F74F1E">
                            <w:pPr>
                              <w:pStyle w:val="Textkrper2"/>
                              <w:spacing w:after="0" w:line="360" w:lineRule="auto"/>
                            </w:pPr>
                            <w:r w:rsidRPr="006F7205">
                              <w:t xml:space="preserve">Der Versuch verdeutlicht den Ionengitter Aufbau von Salzen. Bei dem Versuch werden aus einer Kupfersulfatlösung blaue </w:t>
                            </w:r>
                            <w:proofErr w:type="spellStart"/>
                            <w:r w:rsidRPr="006F7205">
                              <w:t>Kupfersulfatkritstalle</w:t>
                            </w:r>
                            <w:proofErr w:type="spellEnd"/>
                            <w:r w:rsidRPr="006F7205">
                              <w:t xml:space="preserve"> gebildet und aus einer rotes Blutlaugensalzlösung rote Blutlaugensalzkristalle. Die SuS sollten den Aufbau von Salzen als Ionengitter bereits kennen.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4" o:spid="_x0000_s1026" type="#_x0000_t202" style="position:absolute;left:0;text-align:left;margin-left:-4.2pt;margin-top:1.8pt;width:462.45pt;height:8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" strokecolor="#4bacc6" strokeweight="1pt">
                <v:stroke dashstyle="dash"/>
                <v:shadow color="#868686"/>
                <v:textbox>
                  <w:txbxContent>
                    <w:p w:rsidR="00F74F1E" w:rsidRPr="006F7205" w:rsidRDefault="00F74F1E" w:rsidP="00F74F1E">
                      <w:pPr>
                        <w:pStyle w:val="Textkrper2"/>
                        <w:spacing w:after="0" w:line="360" w:lineRule="auto"/>
                      </w:pPr>
                      <w:r w:rsidRPr="006F7205">
                        <w:t xml:space="preserve">Der Versuch verdeutlicht den Ionengitter Aufbau von Salzen. Bei dem Versuch werden aus einer </w:t>
                      </w:r>
                      <w:proofErr w:type="spellStart"/>
                      <w:r w:rsidRPr="006F7205">
                        <w:t>Kupfersulfatlösung</w:t>
                      </w:r>
                      <w:proofErr w:type="spellEnd"/>
                      <w:r w:rsidRPr="006F7205">
                        <w:t xml:space="preserve"> blaue </w:t>
                      </w:r>
                      <w:proofErr w:type="spellStart"/>
                      <w:r w:rsidRPr="006F7205">
                        <w:t>Kupfersulfatkritstalle</w:t>
                      </w:r>
                      <w:proofErr w:type="spellEnd"/>
                      <w:r w:rsidRPr="006F7205">
                        <w:t xml:space="preserve"> gebildet und aus einer rotes Blutlauge</w:t>
                      </w:r>
                      <w:r w:rsidRPr="006F7205">
                        <w:t>n</w:t>
                      </w:r>
                      <w:r w:rsidRPr="006F7205">
                        <w:t xml:space="preserve">salzlösung rote Blutlaugensalzkristalle. Die </w:t>
                      </w:r>
                      <w:proofErr w:type="spellStart"/>
                      <w:r w:rsidRPr="006F7205">
                        <w:t>SuS</w:t>
                      </w:r>
                      <w:proofErr w:type="spellEnd"/>
                      <w:r w:rsidRPr="006F7205">
                        <w:t xml:space="preserve"> sollten den Aufbau von Salzen als Ionengitter bereits kennen.</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709"/>
        <w:gridCol w:w="1259"/>
        <w:gridCol w:w="1009"/>
        <w:gridCol w:w="1134"/>
      </w:tblGrid>
      <w:tr w:rsidR="00F74F1E" w:rsidRPr="00203EDC" w:rsidTr="00617E0E">
        <w:tc>
          <w:tcPr>
            <w:tcW w:w="9322" w:type="dxa"/>
            <w:gridSpan w:val="9"/>
            <w:shd w:val="clear" w:color="auto" w:fill="4F81BD"/>
            <w:vAlign w:val="center"/>
          </w:tcPr>
          <w:p w:rsidR="00F74F1E" w:rsidRPr="00203EDC" w:rsidRDefault="00F74F1E" w:rsidP="00617E0E">
            <w:pPr>
              <w:spacing w:after="0"/>
              <w:jc w:val="center"/>
              <w:rPr>
                <w:b/>
                <w:bCs/>
                <w:color w:val="auto"/>
              </w:rPr>
            </w:pPr>
            <w:r w:rsidRPr="00203EDC">
              <w:rPr>
                <w:b/>
                <w:bCs/>
                <w:color w:val="auto"/>
              </w:rPr>
              <w:t>Gefahrenstoffe</w:t>
            </w:r>
          </w:p>
        </w:tc>
      </w:tr>
      <w:tr w:rsidR="00F74F1E" w:rsidRPr="00203EDC" w:rsidTr="00617E0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74F1E" w:rsidRPr="00203EDC" w:rsidRDefault="00F74F1E" w:rsidP="00617E0E">
            <w:pPr>
              <w:spacing w:after="0" w:line="276" w:lineRule="auto"/>
              <w:jc w:val="center"/>
              <w:rPr>
                <w:bCs/>
                <w:color w:val="auto"/>
              </w:rPr>
            </w:pPr>
            <w:proofErr w:type="spellStart"/>
            <w:r w:rsidRPr="00203EDC">
              <w:rPr>
                <w:rFonts w:cs="Cambria"/>
                <w:color w:val="auto"/>
                <w:sz w:val="20"/>
                <w:szCs w:val="20"/>
              </w:rPr>
              <w:t>Kalimhexacyanoferrat</w:t>
            </w:r>
            <w:proofErr w:type="spellEnd"/>
            <w:r w:rsidRPr="00203EDC">
              <w:rPr>
                <w:rFonts w:cs="Cambria"/>
                <w:color w:val="auto"/>
                <w:sz w:val="20"/>
                <w:szCs w:val="20"/>
              </w:rPr>
              <w:t>(III)</w:t>
            </w:r>
          </w:p>
        </w:tc>
        <w:tc>
          <w:tcPr>
            <w:tcW w:w="2893" w:type="dxa"/>
            <w:gridSpan w:val="3"/>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color w:val="auto"/>
              </w:rPr>
              <w:t>-</w:t>
            </w:r>
          </w:p>
        </w:tc>
        <w:tc>
          <w:tcPr>
            <w:tcW w:w="3402" w:type="dxa"/>
            <w:gridSpan w:val="3"/>
            <w:tcBorders>
              <w:top w:val="single" w:sz="8" w:space="0" w:color="4F81BD"/>
              <w:bottom w:val="single" w:sz="8" w:space="0" w:color="4F81BD"/>
              <w:right w:val="single" w:sz="8" w:space="0" w:color="4F81BD"/>
            </w:tcBorders>
            <w:shd w:val="clear" w:color="auto" w:fill="auto"/>
            <w:vAlign w:val="center"/>
          </w:tcPr>
          <w:p w:rsidR="00F74F1E" w:rsidRPr="00203EDC" w:rsidRDefault="00F74F1E" w:rsidP="00617E0E">
            <w:pPr>
              <w:spacing w:after="0"/>
              <w:jc w:val="center"/>
              <w:rPr>
                <w:color w:val="auto"/>
              </w:rPr>
            </w:pPr>
            <w:r w:rsidRPr="00203EDC">
              <w:rPr>
                <w:rFonts w:cs="Cambria"/>
                <w:color w:val="auto"/>
                <w:sz w:val="20"/>
                <w:szCs w:val="20"/>
              </w:rPr>
              <w:t>-</w:t>
            </w:r>
          </w:p>
        </w:tc>
      </w:tr>
      <w:tr w:rsidR="00F74F1E" w:rsidRPr="00203EDC" w:rsidTr="00617E0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74F1E" w:rsidRPr="00203EDC" w:rsidRDefault="00F74F1E" w:rsidP="00617E0E">
            <w:pPr>
              <w:spacing w:after="0" w:line="276" w:lineRule="auto"/>
              <w:jc w:val="center"/>
              <w:rPr>
                <w:rFonts w:cs="Cambria"/>
                <w:color w:val="auto"/>
                <w:sz w:val="20"/>
                <w:szCs w:val="20"/>
              </w:rPr>
            </w:pPr>
            <w:r w:rsidRPr="00203EDC">
              <w:rPr>
                <w:bCs/>
                <w:color w:val="auto"/>
              </w:rPr>
              <w:t>Kupfersulfat</w:t>
            </w:r>
          </w:p>
        </w:tc>
        <w:tc>
          <w:tcPr>
            <w:tcW w:w="2893" w:type="dxa"/>
            <w:gridSpan w:val="3"/>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rFonts w:cs="Cambria"/>
                <w:color w:val="auto"/>
                <w:sz w:val="20"/>
                <w:szCs w:val="20"/>
              </w:rPr>
            </w:pPr>
            <w:r w:rsidRPr="00203EDC">
              <w:rPr>
                <w:rFonts w:cs="Cambria"/>
                <w:color w:val="auto"/>
                <w:sz w:val="20"/>
                <w:szCs w:val="20"/>
              </w:rPr>
              <w:t>H: 302, 315, 319, 410</w:t>
            </w:r>
          </w:p>
        </w:tc>
        <w:tc>
          <w:tcPr>
            <w:tcW w:w="3402" w:type="dxa"/>
            <w:gridSpan w:val="3"/>
            <w:tcBorders>
              <w:top w:val="single" w:sz="8" w:space="0" w:color="4F81BD"/>
              <w:bottom w:val="single" w:sz="8" w:space="0" w:color="4F81BD"/>
              <w:right w:val="single" w:sz="8" w:space="0" w:color="4F81BD"/>
            </w:tcBorders>
            <w:shd w:val="clear" w:color="auto" w:fill="auto"/>
            <w:vAlign w:val="center"/>
          </w:tcPr>
          <w:p w:rsidR="00F74F1E" w:rsidRPr="00203EDC" w:rsidRDefault="00F74F1E" w:rsidP="00617E0E">
            <w:pPr>
              <w:spacing w:after="0"/>
              <w:jc w:val="center"/>
              <w:rPr>
                <w:rFonts w:cs="Cambria"/>
                <w:color w:val="auto"/>
                <w:sz w:val="20"/>
                <w:szCs w:val="20"/>
              </w:rPr>
            </w:pPr>
            <w:r w:rsidRPr="00203EDC">
              <w:rPr>
                <w:rFonts w:cs="Cambria"/>
                <w:color w:val="auto"/>
                <w:sz w:val="20"/>
                <w:szCs w:val="20"/>
              </w:rPr>
              <w:t>P: 273, 305 + 351 + 338, 302 + 352</w:t>
            </w:r>
          </w:p>
        </w:tc>
      </w:tr>
      <w:tr w:rsidR="00F74F1E" w:rsidRPr="00203EDC" w:rsidTr="00617E0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74F1E" w:rsidRPr="00203EDC" w:rsidRDefault="00F74F1E" w:rsidP="00617E0E">
            <w:pPr>
              <w:spacing w:after="0" w:line="276" w:lineRule="auto"/>
              <w:jc w:val="center"/>
              <w:rPr>
                <w:bCs/>
                <w:color w:val="auto"/>
              </w:rPr>
            </w:pPr>
            <w:r w:rsidRPr="00203EDC">
              <w:rPr>
                <w:bCs/>
                <w:color w:val="auto"/>
              </w:rPr>
              <w:t>Demineralisiertes Wasser</w:t>
            </w:r>
          </w:p>
        </w:tc>
        <w:tc>
          <w:tcPr>
            <w:tcW w:w="2893" w:type="dxa"/>
            <w:gridSpan w:val="3"/>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rFonts w:cs="Cambria"/>
                <w:color w:val="auto"/>
                <w:sz w:val="20"/>
                <w:szCs w:val="20"/>
              </w:rPr>
            </w:pPr>
            <w:r w:rsidRPr="00203EDC">
              <w:rPr>
                <w:rFonts w:cs="Cambria"/>
                <w:color w:val="auto"/>
                <w:sz w:val="20"/>
                <w:szCs w:val="20"/>
              </w:rPr>
              <w:t>-</w:t>
            </w:r>
          </w:p>
        </w:tc>
        <w:tc>
          <w:tcPr>
            <w:tcW w:w="3402" w:type="dxa"/>
            <w:gridSpan w:val="3"/>
            <w:tcBorders>
              <w:top w:val="single" w:sz="8" w:space="0" w:color="4F81BD"/>
              <w:bottom w:val="single" w:sz="8" w:space="0" w:color="4F81BD"/>
              <w:right w:val="single" w:sz="8" w:space="0" w:color="4F81BD"/>
            </w:tcBorders>
            <w:shd w:val="clear" w:color="auto" w:fill="auto"/>
            <w:vAlign w:val="center"/>
          </w:tcPr>
          <w:p w:rsidR="00F74F1E" w:rsidRPr="00203EDC" w:rsidRDefault="00F74F1E" w:rsidP="00617E0E">
            <w:pPr>
              <w:spacing w:after="0"/>
              <w:jc w:val="center"/>
              <w:rPr>
                <w:rFonts w:cs="Cambria"/>
                <w:color w:val="auto"/>
                <w:sz w:val="20"/>
                <w:szCs w:val="20"/>
              </w:rPr>
            </w:pPr>
            <w:r w:rsidRPr="00203EDC">
              <w:rPr>
                <w:rFonts w:cs="Cambria"/>
                <w:color w:val="auto"/>
                <w:sz w:val="20"/>
                <w:szCs w:val="20"/>
              </w:rPr>
              <w:t>-</w:t>
            </w:r>
          </w:p>
        </w:tc>
      </w:tr>
      <w:tr w:rsidR="00F74F1E" w:rsidRPr="00203EDC" w:rsidTr="00617E0E">
        <w:tc>
          <w:tcPr>
            <w:tcW w:w="1009" w:type="dxa"/>
            <w:tcBorders>
              <w:top w:val="single" w:sz="8" w:space="0" w:color="4F81BD"/>
              <w:left w:val="single" w:sz="8" w:space="0" w:color="4F81BD"/>
              <w:bottom w:val="single" w:sz="8" w:space="0" w:color="4F81BD"/>
            </w:tcBorders>
            <w:shd w:val="clear" w:color="auto" w:fill="auto"/>
            <w:vAlign w:val="center"/>
          </w:tcPr>
          <w:p w:rsidR="00F74F1E" w:rsidRPr="00203EDC" w:rsidRDefault="00F74F1E" w:rsidP="00617E0E">
            <w:pPr>
              <w:spacing w:after="0"/>
              <w:jc w:val="center"/>
              <w:rPr>
                <w:b/>
                <w:bCs/>
                <w:color w:val="auto"/>
              </w:rPr>
            </w:pPr>
            <w:r w:rsidRPr="00203EDC">
              <w:rPr>
                <w:b/>
                <w:noProof/>
                <w:color w:val="auto"/>
                <w:lang w:eastAsia="de-DE"/>
              </w:rPr>
              <w:drawing>
                <wp:inline distT="0" distB="0" distL="0" distR="0" wp14:anchorId="105054D1" wp14:editId="74D29370">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3E47E718" wp14:editId="67795DC8">
                  <wp:extent cx="543464" cy="543464"/>
                  <wp:effectExtent l="0" t="0" r="9525" b="9525"/>
                  <wp:docPr id="17" name="Grafik 17" descr="C:\Users\Susanne Hille\Desktop\48px-GHS-pictogram-rondfl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 Hille\Desktop\48px-GHS-pictogram-rondflam.svg.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43465" cy="54346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11B5D2D4" wp14:editId="0765B801">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08D15F1D" wp14:editId="633A9BAC">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091CF4C1" wp14:editId="36E650ED">
                  <wp:extent cx="545812" cy="569343"/>
                  <wp:effectExtent l="0" t="0" r="6985"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45978" cy="569517"/>
                          </a:xfrm>
                          <a:prstGeom prst="rect">
                            <a:avLst/>
                          </a:prstGeom>
                          <a:noFill/>
                          <a:ln>
                            <a:noFill/>
                          </a:ln>
                        </pic:spPr>
                      </pic:pic>
                    </a:graphicData>
                  </a:graphic>
                </wp:inline>
              </w:drawing>
            </w:r>
          </w:p>
        </w:tc>
        <w:tc>
          <w:tcPr>
            <w:tcW w:w="70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7E24B9F8" wp14:editId="61FF49A4">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25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68EDB0E2" wp14:editId="01A7C145">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043B2525" wp14:editId="6C0CBB57">
                  <wp:extent cx="511175" cy="511175"/>
                  <wp:effectExtent l="0" t="0" r="317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74F1E" w:rsidRPr="00203EDC" w:rsidRDefault="00F74F1E" w:rsidP="00617E0E">
            <w:pPr>
              <w:spacing w:after="0"/>
              <w:jc w:val="center"/>
              <w:rPr>
                <w:color w:val="auto"/>
              </w:rPr>
            </w:pPr>
            <w:r w:rsidRPr="00203EDC">
              <w:rPr>
                <w:noProof/>
                <w:color w:val="auto"/>
                <w:lang w:eastAsia="de-DE"/>
              </w:rPr>
              <w:drawing>
                <wp:inline distT="0" distB="0" distL="0" distR="0" wp14:anchorId="11F23FD4" wp14:editId="158759EC">
                  <wp:extent cx="526211" cy="526211"/>
                  <wp:effectExtent l="0" t="0" r="762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526211" cy="526211"/>
                          </a:xfrm>
                          <a:prstGeom prst="rect">
                            <a:avLst/>
                          </a:prstGeom>
                          <a:noFill/>
                          <a:ln>
                            <a:noFill/>
                          </a:ln>
                        </pic:spPr>
                      </pic:pic>
                    </a:graphicData>
                  </a:graphic>
                </wp:inline>
              </w:drawing>
            </w:r>
          </w:p>
        </w:tc>
      </w:tr>
    </w:tbl>
    <w:p w:rsidR="00F74F1E" w:rsidRPr="00203EDC" w:rsidRDefault="00F74F1E" w:rsidP="00F74F1E">
      <w:pPr>
        <w:tabs>
          <w:tab w:val="left" w:pos="1701"/>
          <w:tab w:val="left" w:pos="1985"/>
        </w:tabs>
        <w:rPr>
          <w:color w:val="auto"/>
        </w:rPr>
      </w:pPr>
    </w:p>
    <w:p w:rsidR="00F74F1E" w:rsidRPr="00203EDC" w:rsidRDefault="00F74F1E" w:rsidP="00F74F1E">
      <w:pPr>
        <w:tabs>
          <w:tab w:val="left" w:pos="1701"/>
          <w:tab w:val="left" w:pos="1985"/>
        </w:tabs>
        <w:ind w:left="1980" w:hanging="1980"/>
        <w:rPr>
          <w:color w:val="auto"/>
        </w:rPr>
      </w:pPr>
      <w:r w:rsidRPr="00203EDC">
        <w:rPr>
          <w:color w:val="auto"/>
        </w:rPr>
        <w:t xml:space="preserve">Materialien: </w:t>
      </w:r>
      <w:r w:rsidRPr="00203EDC">
        <w:rPr>
          <w:color w:val="auto"/>
        </w:rPr>
        <w:tab/>
      </w:r>
      <w:r w:rsidRPr="00203EDC">
        <w:rPr>
          <w:color w:val="auto"/>
        </w:rPr>
        <w:tab/>
        <w:t xml:space="preserve">Becherglas 100 ml, Becherglas (250 ml), kleines Steinchen, Dreifuß mit Drahtnetz, Brenner, </w:t>
      </w:r>
      <w:proofErr w:type="spellStart"/>
      <w:r w:rsidRPr="00203EDC">
        <w:rPr>
          <w:color w:val="auto"/>
        </w:rPr>
        <w:t>Glasrührstab</w:t>
      </w:r>
      <w:proofErr w:type="spellEnd"/>
    </w:p>
    <w:p w:rsidR="00F74F1E" w:rsidRPr="00203EDC" w:rsidRDefault="00F74F1E" w:rsidP="00F74F1E">
      <w:pPr>
        <w:tabs>
          <w:tab w:val="left" w:pos="1701"/>
          <w:tab w:val="left" w:pos="1985"/>
        </w:tabs>
        <w:ind w:left="1980" w:hanging="1980"/>
        <w:rPr>
          <w:color w:val="auto"/>
        </w:rPr>
      </w:pPr>
      <w:r w:rsidRPr="00203EDC">
        <w:rPr>
          <w:color w:val="auto"/>
        </w:rPr>
        <w:t>Chemikalien:</w:t>
      </w:r>
      <w:r w:rsidRPr="00203EDC">
        <w:rPr>
          <w:color w:val="auto"/>
        </w:rPr>
        <w:tab/>
      </w:r>
      <w:r w:rsidRPr="00203EDC">
        <w:rPr>
          <w:color w:val="auto"/>
        </w:rPr>
        <w:tab/>
      </w:r>
      <w:proofErr w:type="spellStart"/>
      <w:r w:rsidRPr="00203EDC">
        <w:rPr>
          <w:color w:val="auto"/>
        </w:rPr>
        <w:t>Kalimhexacyanoferrat</w:t>
      </w:r>
      <w:proofErr w:type="spellEnd"/>
      <w:r w:rsidRPr="00203EDC">
        <w:rPr>
          <w:color w:val="auto"/>
        </w:rPr>
        <w:t xml:space="preserve">(III) (rotes Blutlaugensalz) </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3</m:t>
            </m:r>
          </m:sub>
        </m:sSub>
        <m:d>
          <m:dPr>
            <m:begChr m:val="["/>
            <m:endChr m:val="]"/>
            <m:ctrlPr>
              <w:rPr>
                <w:rFonts w:ascii="Cambria Math" w:hAnsi="Cambria Math"/>
                <w:color w:val="auto"/>
              </w:rPr>
            </m:ctrlPr>
          </m:dPr>
          <m:e>
            <m:r>
              <m:rPr>
                <m:sty m:val="p"/>
              </m:rPr>
              <w:rPr>
                <w:rFonts w:ascii="Cambria Math" w:hAnsi="Cambria Math"/>
                <w:color w:val="auto"/>
              </w:rPr>
              <m:t>Fe(CN</m:t>
            </m:r>
            <m:sSub>
              <m:sSubPr>
                <m:ctrlPr>
                  <w:rPr>
                    <w:rFonts w:ascii="Cambria Math" w:hAnsi="Cambria Math"/>
                    <w:color w:val="auto"/>
                  </w:rPr>
                </m:ctrlPr>
              </m:sSubPr>
              <m:e>
                <m:r>
                  <m:rPr>
                    <m:sty m:val="p"/>
                  </m:rPr>
                  <w:rPr>
                    <w:rFonts w:ascii="Cambria Math" w:hAnsi="Cambria Math"/>
                    <w:color w:val="auto"/>
                  </w:rPr>
                  <m:t>)</m:t>
                </m:r>
              </m:e>
              <m:sub>
                <m:r>
                  <m:rPr>
                    <m:sty m:val="p"/>
                  </m:rPr>
                  <w:rPr>
                    <w:rFonts w:ascii="Cambria Math" w:hAnsi="Cambria Math"/>
                    <w:color w:val="auto"/>
                  </w:rPr>
                  <m:t>6</m:t>
                </m:r>
              </m:sub>
            </m:sSub>
          </m:e>
        </m:d>
      </m:oMath>
      <w:r w:rsidRPr="00203EDC">
        <w:rPr>
          <w:color w:val="auto"/>
        </w:rPr>
        <w:t xml:space="preserve">, Kupfersulfat </w:t>
      </w:r>
      <m:oMath>
        <m:r>
          <m:rPr>
            <m:sty m:val="p"/>
          </m:rPr>
          <w:rPr>
            <w:rFonts w:ascii="Cambria Math" w:hAnsi="Cambria Math"/>
            <w:color w:val="auto"/>
          </w:rPr>
          <m:t>CuS</m:t>
        </m:r>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4</m:t>
            </m:r>
          </m:sub>
        </m:sSub>
      </m:oMath>
      <w:r w:rsidRPr="00203EDC">
        <w:rPr>
          <w:rFonts w:eastAsiaTheme="minorEastAsia"/>
          <w:color w:val="auto"/>
        </w:rPr>
        <w:t>,</w:t>
      </w:r>
      <w:r w:rsidRPr="00203EDC">
        <w:rPr>
          <w:color w:val="auto"/>
        </w:rPr>
        <w:t xml:space="preserve"> demineralisiertes Wasser</w:t>
      </w:r>
    </w:p>
    <w:p w:rsidR="00F74F1E" w:rsidRPr="00203EDC" w:rsidRDefault="00F74F1E" w:rsidP="00F74F1E">
      <w:pPr>
        <w:tabs>
          <w:tab w:val="left" w:pos="1701"/>
          <w:tab w:val="left" w:pos="1985"/>
        </w:tabs>
        <w:ind w:left="1985" w:hanging="1985"/>
        <w:rPr>
          <w:color w:val="auto"/>
        </w:rPr>
      </w:pPr>
      <w:r w:rsidRPr="00203EDC">
        <w:rPr>
          <w:color w:val="auto"/>
        </w:rPr>
        <w:t xml:space="preserve">Durchführung:      </w:t>
      </w:r>
      <w:r w:rsidRPr="00203EDC">
        <w:rPr>
          <w:color w:val="auto"/>
        </w:rPr>
        <w:tab/>
      </w:r>
      <w:r w:rsidRPr="00203EDC">
        <w:rPr>
          <w:color w:val="auto"/>
        </w:rPr>
        <w:tab/>
        <w:t xml:space="preserve">In das 100 ml Becherglas werden 30 ml </w:t>
      </w:r>
      <w:proofErr w:type="spellStart"/>
      <w:r w:rsidRPr="00203EDC">
        <w:rPr>
          <w:color w:val="auto"/>
        </w:rPr>
        <w:t>dest</w:t>
      </w:r>
      <w:proofErr w:type="spellEnd"/>
      <w:r w:rsidRPr="00203EDC">
        <w:rPr>
          <w:color w:val="auto"/>
        </w:rPr>
        <w:t xml:space="preserve">. Wasser gegeben und auf 60 °C erhitzt. Danach wird 10 g rotes Blutlaugensalz in das Wasser gegeben und vollständig gelöst. Anschließend wird ein kleiner Stein als Kristallisationskeim in die Lösung gegeben und das Becherglas erschütterungsfrei an einen kühlen Ort gestellt (am besten über Nacht). In das 250 ml Becherglas werden 50 ml </w:t>
      </w:r>
      <w:proofErr w:type="spellStart"/>
      <w:r w:rsidRPr="00203EDC">
        <w:rPr>
          <w:color w:val="auto"/>
        </w:rPr>
        <w:t>dest</w:t>
      </w:r>
      <w:proofErr w:type="spellEnd"/>
      <w:r w:rsidRPr="00203EDC">
        <w:rPr>
          <w:color w:val="auto"/>
        </w:rPr>
        <w:t>. Wasser gegeben, auf 60 °C erhitzt und anschließend   15 g Kupfersulfat in dem Wasser vollständig gelöst und weiter wie mit der Blutlaugensalzlösung verfahren.</w:t>
      </w:r>
    </w:p>
    <w:tbl>
      <w:tblPr>
        <w:tblStyle w:val="Tabellenraster"/>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026"/>
      </w:tblGrid>
      <w:tr w:rsidR="00F74F1E" w:rsidRPr="00203EDC" w:rsidTr="00617E0E">
        <w:tc>
          <w:tcPr>
            <w:tcW w:w="4587" w:type="dxa"/>
          </w:tcPr>
          <w:p w:rsidR="00F74F1E" w:rsidRPr="00203EDC" w:rsidRDefault="00F74F1E" w:rsidP="00617E0E">
            <w:pPr>
              <w:keepNext/>
              <w:tabs>
                <w:tab w:val="left" w:pos="1701"/>
                <w:tab w:val="left" w:pos="1985"/>
              </w:tabs>
              <w:rPr>
                <w:color w:val="auto"/>
              </w:rPr>
            </w:pPr>
            <w:r w:rsidRPr="00203EDC">
              <w:rPr>
                <w:noProof/>
                <w:color w:val="auto"/>
                <w:lang w:eastAsia="de-DE"/>
              </w:rPr>
              <w:lastRenderedPageBreak/>
              <w:drawing>
                <wp:inline distT="0" distB="0" distL="0" distR="0" wp14:anchorId="27FD615C" wp14:editId="3E8CC4EA">
                  <wp:extent cx="2818310" cy="1837427"/>
                  <wp:effectExtent l="0" t="0" r="127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819269" cy="1838052"/>
                          </a:xfrm>
                          <a:prstGeom prst="rect">
                            <a:avLst/>
                          </a:prstGeom>
                          <a:ln>
                            <a:noFill/>
                          </a:ln>
                          <a:extLst>
                            <a:ext uri="{53640926-AAD7-44D8-BBD7-CCE9431645EC}">
                              <a14:shadowObscured xmlns:a14="http://schemas.microsoft.com/office/drawing/2010/main"/>
                            </a:ext>
                          </a:extLst>
                        </pic:spPr>
                      </pic:pic>
                    </a:graphicData>
                  </a:graphic>
                </wp:inline>
              </w:drawing>
            </w:r>
          </w:p>
          <w:p w:rsidR="00F74F1E" w:rsidRPr="00203EDC" w:rsidRDefault="00F74F1E" w:rsidP="00617E0E">
            <w:pPr>
              <w:spacing w:line="240" w:lineRule="auto"/>
              <w:rPr>
                <w:rFonts w:eastAsiaTheme="minorEastAsia"/>
                <w:bCs/>
                <w:color w:val="auto"/>
                <w:sz w:val="18"/>
                <w:szCs w:val="18"/>
              </w:rPr>
            </w:pPr>
            <w:r w:rsidRPr="00203EDC">
              <w:rPr>
                <w:bCs/>
                <w:color w:val="auto"/>
                <w:sz w:val="18"/>
                <w:szCs w:val="18"/>
              </w:rPr>
              <w:t xml:space="preserve">Abbildung </w:t>
            </w:r>
            <w:r w:rsidRPr="00203EDC">
              <w:rPr>
                <w:bCs/>
                <w:color w:val="auto"/>
                <w:sz w:val="18"/>
                <w:szCs w:val="18"/>
              </w:rPr>
              <w:fldChar w:fldCharType="begin"/>
            </w:r>
            <w:r w:rsidRPr="00203EDC">
              <w:rPr>
                <w:bCs/>
                <w:color w:val="auto"/>
                <w:sz w:val="18"/>
                <w:szCs w:val="18"/>
              </w:rPr>
              <w:instrText xml:space="preserve"> SEQ Abbildung \* ARABIC </w:instrText>
            </w:r>
            <w:r w:rsidRPr="00203EDC">
              <w:rPr>
                <w:bCs/>
                <w:color w:val="auto"/>
                <w:sz w:val="18"/>
                <w:szCs w:val="18"/>
              </w:rPr>
              <w:fldChar w:fldCharType="separate"/>
            </w:r>
            <w:r w:rsidRPr="00203EDC">
              <w:rPr>
                <w:bCs/>
                <w:noProof/>
                <w:color w:val="auto"/>
                <w:sz w:val="18"/>
                <w:szCs w:val="18"/>
              </w:rPr>
              <w:t>4</w:t>
            </w:r>
            <w:r w:rsidRPr="00203EDC">
              <w:rPr>
                <w:bCs/>
                <w:color w:val="auto"/>
                <w:sz w:val="18"/>
                <w:szCs w:val="18"/>
              </w:rPr>
              <w:fldChar w:fldCharType="end"/>
            </w:r>
            <w:r w:rsidRPr="00203EDC">
              <w:rPr>
                <w:bCs/>
                <w:color w:val="auto"/>
                <w:sz w:val="18"/>
                <w:szCs w:val="18"/>
              </w:rPr>
              <w:t xml:space="preserve"> - Kupfersulfatkristall</w:t>
            </w:r>
          </w:p>
        </w:tc>
        <w:tc>
          <w:tcPr>
            <w:tcW w:w="4026" w:type="dxa"/>
          </w:tcPr>
          <w:p w:rsidR="00F74F1E" w:rsidRPr="00203EDC" w:rsidRDefault="00F74F1E" w:rsidP="00617E0E">
            <w:pPr>
              <w:keepNext/>
              <w:tabs>
                <w:tab w:val="left" w:pos="1701"/>
                <w:tab w:val="left" w:pos="1985"/>
              </w:tabs>
              <w:rPr>
                <w:color w:val="auto"/>
              </w:rPr>
            </w:pPr>
            <w:r w:rsidRPr="00203EDC">
              <w:rPr>
                <w:noProof/>
                <w:color w:val="auto"/>
                <w:lang w:eastAsia="de-DE"/>
              </w:rPr>
              <w:drawing>
                <wp:inline distT="0" distB="0" distL="0" distR="0" wp14:anchorId="658C9AE6" wp14:editId="5E1F48B6">
                  <wp:extent cx="2449729" cy="1837426"/>
                  <wp:effectExtent l="0" t="0" r="825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460395" cy="1845426"/>
                          </a:xfrm>
                          <a:prstGeom prst="rect">
                            <a:avLst/>
                          </a:prstGeom>
                        </pic:spPr>
                      </pic:pic>
                    </a:graphicData>
                  </a:graphic>
                </wp:inline>
              </w:drawing>
            </w:r>
          </w:p>
          <w:p w:rsidR="00F74F1E" w:rsidRPr="00203EDC" w:rsidRDefault="00F74F1E" w:rsidP="00617E0E">
            <w:pPr>
              <w:spacing w:line="240" w:lineRule="auto"/>
              <w:rPr>
                <w:rFonts w:eastAsiaTheme="minorEastAsia"/>
                <w:bCs/>
                <w:color w:val="auto"/>
                <w:sz w:val="18"/>
                <w:szCs w:val="18"/>
              </w:rPr>
            </w:pPr>
            <w:r w:rsidRPr="00203EDC">
              <w:rPr>
                <w:bCs/>
                <w:color w:val="auto"/>
                <w:sz w:val="18"/>
                <w:szCs w:val="18"/>
              </w:rPr>
              <w:t xml:space="preserve">Abbildung </w:t>
            </w:r>
            <w:r w:rsidRPr="00203EDC">
              <w:rPr>
                <w:bCs/>
                <w:color w:val="auto"/>
                <w:sz w:val="18"/>
                <w:szCs w:val="18"/>
              </w:rPr>
              <w:fldChar w:fldCharType="begin"/>
            </w:r>
            <w:r w:rsidRPr="00203EDC">
              <w:rPr>
                <w:bCs/>
                <w:color w:val="auto"/>
                <w:sz w:val="18"/>
                <w:szCs w:val="18"/>
              </w:rPr>
              <w:instrText xml:space="preserve"> SEQ Abbildung \* ARABIC </w:instrText>
            </w:r>
            <w:r w:rsidRPr="00203EDC">
              <w:rPr>
                <w:bCs/>
                <w:color w:val="auto"/>
                <w:sz w:val="18"/>
                <w:szCs w:val="18"/>
              </w:rPr>
              <w:fldChar w:fldCharType="separate"/>
            </w:r>
            <w:r w:rsidRPr="00203EDC">
              <w:rPr>
                <w:bCs/>
                <w:noProof/>
                <w:color w:val="auto"/>
                <w:sz w:val="18"/>
                <w:szCs w:val="18"/>
              </w:rPr>
              <w:t>5</w:t>
            </w:r>
            <w:r w:rsidRPr="00203EDC">
              <w:rPr>
                <w:bCs/>
                <w:color w:val="auto"/>
                <w:sz w:val="18"/>
                <w:szCs w:val="18"/>
              </w:rPr>
              <w:fldChar w:fldCharType="end"/>
            </w:r>
            <w:r w:rsidRPr="00203EDC">
              <w:rPr>
                <w:bCs/>
                <w:color w:val="auto"/>
                <w:sz w:val="18"/>
                <w:szCs w:val="18"/>
              </w:rPr>
              <w:t xml:space="preserve"> - Roter Blutlaugensalzkristall</w:t>
            </w:r>
          </w:p>
        </w:tc>
      </w:tr>
    </w:tbl>
    <w:p w:rsidR="00F74F1E" w:rsidRPr="00203EDC" w:rsidRDefault="00F74F1E" w:rsidP="00F74F1E">
      <w:pPr>
        <w:tabs>
          <w:tab w:val="left" w:pos="1701"/>
          <w:tab w:val="left" w:pos="1985"/>
        </w:tabs>
        <w:ind w:left="1985" w:hanging="1985"/>
        <w:rPr>
          <w:rFonts w:eastAsiaTheme="minorEastAsia"/>
          <w:color w:val="auto"/>
        </w:rPr>
      </w:pPr>
    </w:p>
    <w:p w:rsidR="00F74F1E" w:rsidRPr="00203EDC" w:rsidRDefault="00F74F1E" w:rsidP="00F74F1E">
      <w:pPr>
        <w:tabs>
          <w:tab w:val="left" w:pos="1701"/>
          <w:tab w:val="left" w:pos="1985"/>
        </w:tabs>
        <w:ind w:left="1980" w:hanging="1980"/>
        <w:rPr>
          <w:color w:val="auto"/>
        </w:rPr>
      </w:pPr>
      <w:r w:rsidRPr="00203EDC">
        <w:rPr>
          <w:color w:val="auto"/>
        </w:rPr>
        <w:t>Beobachtung:</w:t>
      </w:r>
      <w:r w:rsidRPr="00203EDC">
        <w:rPr>
          <w:color w:val="auto"/>
        </w:rPr>
        <w:tab/>
      </w:r>
      <w:r w:rsidRPr="00203EDC">
        <w:rPr>
          <w:color w:val="auto"/>
        </w:rPr>
        <w:tab/>
        <w:t>Nach 24 h haben sich in der Blutlaugensalzlösung rote Kristalle und in der Kupfersulfatlösung blaue Kristalle gebildet.</w:t>
      </w:r>
    </w:p>
    <w:p w:rsidR="00F74F1E" w:rsidRPr="00203EDC" w:rsidRDefault="00F74F1E" w:rsidP="00F74F1E">
      <w:pPr>
        <w:tabs>
          <w:tab w:val="left" w:pos="1701"/>
          <w:tab w:val="left" w:pos="1985"/>
        </w:tabs>
        <w:ind w:left="1985" w:right="-142" w:hanging="1985"/>
        <w:rPr>
          <w:color w:val="auto"/>
        </w:rPr>
      </w:pPr>
      <w:r w:rsidRPr="00203EDC">
        <w:rPr>
          <w:noProof/>
          <w:color w:val="auto"/>
          <w:lang w:eastAsia="de-DE"/>
        </w:rPr>
        <w:t>D</w:t>
      </w:r>
      <w:proofErr w:type="spellStart"/>
      <w:r w:rsidRPr="00203EDC">
        <w:rPr>
          <w:color w:val="auto"/>
        </w:rPr>
        <w:t>eutung</w:t>
      </w:r>
      <w:proofErr w:type="spellEnd"/>
      <w:r w:rsidRPr="00203EDC">
        <w:rPr>
          <w:color w:val="auto"/>
        </w:rPr>
        <w:t>:</w:t>
      </w:r>
      <w:r w:rsidRPr="00203EDC">
        <w:rPr>
          <w:color w:val="auto"/>
        </w:rPr>
        <w:tab/>
      </w:r>
      <w:r w:rsidRPr="00203EDC">
        <w:rPr>
          <w:color w:val="auto"/>
        </w:rPr>
        <w:tab/>
        <w:t>Die Löslichkeit der beiden Salze nimmt mit steigender Temperatur deutlich zu. Beim Abkühlen wird die Löslichkeit unterschritten und die Salze kristallisieren aus.</w:t>
      </w:r>
      <w:bookmarkStart w:id="1" w:name="_GoBack"/>
      <w:bookmarkEnd w:id="1"/>
    </w:p>
    <w:p w:rsidR="00F74F1E" w:rsidRPr="00203EDC" w:rsidRDefault="00F74F1E" w:rsidP="00F74F1E">
      <w:pPr>
        <w:tabs>
          <w:tab w:val="left" w:pos="1985"/>
        </w:tabs>
        <w:ind w:left="1980" w:right="-142" w:hanging="1980"/>
        <w:rPr>
          <w:color w:val="auto"/>
        </w:rPr>
      </w:pPr>
      <w:r w:rsidRPr="00203EDC">
        <w:rPr>
          <w:color w:val="auto"/>
        </w:rPr>
        <w:t>Entsorgung:</w:t>
      </w:r>
      <w:r w:rsidRPr="00203EDC">
        <w:rPr>
          <w:color w:val="auto"/>
        </w:rPr>
        <w:tab/>
        <w:t>Anorganische Abfälle mit Schwermetallen</w:t>
      </w:r>
    </w:p>
    <w:p w:rsidR="00F74F1E" w:rsidRPr="00203EDC" w:rsidRDefault="00F74F1E" w:rsidP="00F74F1E">
      <w:pPr>
        <w:spacing w:after="0" w:line="276" w:lineRule="auto"/>
        <w:ind w:left="1985" w:hanging="1985"/>
        <w:jc w:val="left"/>
        <w:rPr>
          <w:color w:val="auto"/>
        </w:rPr>
      </w:pPr>
      <w:r w:rsidRPr="00203EDC">
        <w:rPr>
          <w:color w:val="auto"/>
        </w:rPr>
        <w:t>Literatur:</w:t>
      </w:r>
      <w:r w:rsidRPr="00203EDC">
        <w:rPr>
          <w:color w:val="auto"/>
        </w:rPr>
        <w:tab/>
      </w:r>
      <w:r w:rsidRPr="00203EDC">
        <w:rPr>
          <w:color w:val="auto"/>
        </w:rPr>
        <w:fldChar w:fldCharType="begin"/>
      </w:r>
      <w:r w:rsidRPr="00203EDC">
        <w:rPr>
          <w:color w:val="auto"/>
        </w:rPr>
        <w:instrText xml:space="preserve"> BIBLIOGRAPHY  \l 1031 </w:instrText>
      </w:r>
      <w:r w:rsidRPr="00203EDC">
        <w:rPr>
          <w:color w:val="auto"/>
        </w:rPr>
        <w:fldChar w:fldCharType="separate"/>
      </w:r>
      <w:r w:rsidRPr="00203EDC">
        <w:rPr>
          <w:noProof/>
          <w:color w:val="auto"/>
        </w:rPr>
        <w:t xml:space="preserve">Schmidkunz, H., &amp; Rentzsch, W. (2011). </w:t>
      </w:r>
      <w:r w:rsidRPr="00203EDC">
        <w:rPr>
          <w:i/>
          <w:iCs/>
          <w:noProof/>
          <w:color w:val="auto"/>
        </w:rPr>
        <w:t>Chemische Freihandversuche .</w:t>
      </w:r>
      <w:r w:rsidRPr="00203EDC">
        <w:rPr>
          <w:noProof/>
          <w:color w:val="auto"/>
        </w:rPr>
        <w:t xml:space="preserve"> Köln: Aulis Verlag.</w:t>
      </w:r>
    </w:p>
    <w:p w:rsidR="00F74F1E" w:rsidRPr="00203EDC" w:rsidRDefault="00F74F1E" w:rsidP="00F74F1E">
      <w:pPr>
        <w:spacing w:after="0" w:line="276" w:lineRule="auto"/>
        <w:jc w:val="left"/>
        <w:rPr>
          <w:color w:val="auto"/>
        </w:rPr>
      </w:pPr>
      <w:r w:rsidRPr="00203EDC">
        <w:rPr>
          <w:color w:val="auto"/>
        </w:rPr>
        <w:fldChar w:fldCharType="end"/>
      </w:r>
    </w:p>
    <w:p w:rsidR="00F74F1E" w:rsidRPr="00203EDC" w:rsidRDefault="00F74F1E" w:rsidP="00F74F1E">
      <w:pPr>
        <w:spacing w:after="0" w:line="276" w:lineRule="auto"/>
        <w:jc w:val="left"/>
        <w:rPr>
          <w:color w:val="auto"/>
        </w:rPr>
      </w:pPr>
      <w:r w:rsidRPr="00203EDC">
        <w:rPr>
          <w:noProof/>
          <w:color w:val="auto"/>
          <w:lang w:eastAsia="de-DE"/>
        </w:rPr>
        <mc:AlternateContent>
          <mc:Choice Requires="wps">
            <w:drawing>
              <wp:inline distT="0" distB="0" distL="0" distR="0" wp14:anchorId="7EF3F408" wp14:editId="6FE5DB3A">
                <wp:extent cx="5873115" cy="577970"/>
                <wp:effectExtent l="0" t="0" r="13335" b="1270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7970"/>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4F1E" w:rsidRPr="006F7205" w:rsidRDefault="00F74F1E" w:rsidP="00F74F1E">
                            <w:pPr>
                              <w:rPr>
                                <w:color w:val="auto"/>
                              </w:rPr>
                            </w:pPr>
                            <w:r w:rsidRPr="006F7205">
                              <w:rPr>
                                <w:b/>
                                <w:color w:val="auto"/>
                              </w:rPr>
                              <w:t xml:space="preserve">Unterrichtsanschlüsse: </w:t>
                            </w:r>
                            <w:r w:rsidRPr="006F7205">
                              <w:rPr>
                                <w:color w:val="auto"/>
                              </w:rPr>
                              <w:t>Der Versuch kann als Bestätigungsexperiment im Unterricht eingesetzt werden.</w:t>
                            </w:r>
                          </w:p>
                          <w:p w:rsidR="00F74F1E" w:rsidRPr="000D10FB" w:rsidRDefault="00F74F1E" w:rsidP="00F74F1E">
                            <w:pPr>
                              <w:rPr>
                                <w:color w:val="1F497D" w:themeColor="text2"/>
                              </w:rPr>
                            </w:pPr>
                          </w:p>
                        </w:txbxContent>
                      </wps:txbx>
                      <wps:bodyPr rot="0" vert="horz" wrap="square" lIns="91440" tIns="45720" rIns="91440" bIns="45720" anchor="t" anchorCtr="0" upright="1">
                        <a:noAutofit/>
                      </wps:bodyPr>
                    </wps:wsp>
                  </a:graphicData>
                </a:graphic>
              </wp:inline>
            </w:drawing>
          </mc:Choice>
          <mc:Fallback>
            <w:pict>
              <v:shape id="Textfeld 45" o:spid="_x0000_s1027" type="#_x0000_t202" style="width:462.4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" strokecolor="#c0504d" strokeweight="1pt">
                <v:stroke dashstyle="dash"/>
                <v:shadow color="#868686"/>
                <v:textbox>
                  <w:txbxContent>
                    <w:p w:rsidR="00F74F1E" w:rsidRPr="006F7205" w:rsidRDefault="00F74F1E" w:rsidP="00F74F1E">
                      <w:pPr>
                        <w:rPr>
                          <w:color w:val="auto"/>
                        </w:rPr>
                      </w:pPr>
                      <w:r w:rsidRPr="006F7205">
                        <w:rPr>
                          <w:b/>
                          <w:color w:val="auto"/>
                        </w:rPr>
                        <w:t xml:space="preserve">Unterrichtsanschlüsse: </w:t>
                      </w:r>
                      <w:r w:rsidRPr="006F7205">
                        <w:rPr>
                          <w:color w:val="auto"/>
                        </w:rPr>
                        <w:t>Der Versuch kann als Bestätigungsexperiment im Unterricht eing</w:t>
                      </w:r>
                      <w:r w:rsidRPr="006F7205">
                        <w:rPr>
                          <w:color w:val="auto"/>
                        </w:rPr>
                        <w:t>e</w:t>
                      </w:r>
                      <w:r w:rsidRPr="006F7205">
                        <w:rPr>
                          <w:color w:val="auto"/>
                        </w:rPr>
                        <w:t>setzt werden.</w:t>
                      </w:r>
                    </w:p>
                    <w:p w:rsidR="00F74F1E" w:rsidRPr="000D10FB" w:rsidRDefault="00F74F1E" w:rsidP="00F74F1E">
                      <w:pPr>
                        <w:rPr>
                          <w:color w:val="1F497D" w:themeColor="text2"/>
                        </w:rPr>
                      </w:pPr>
                    </w:p>
                  </w:txbxContent>
                </v:textbox>
                <w10:anchorlock/>
              </v:shape>
            </w:pict>
          </mc:Fallback>
        </mc:AlternateContent>
      </w:r>
    </w:p>
    <w:p w:rsidR="00F74F1E" w:rsidRPr="00203EDC" w:rsidRDefault="00F74F1E" w:rsidP="00F74F1E">
      <w:pPr>
        <w:spacing w:line="276" w:lineRule="auto"/>
        <w:jc w:val="left"/>
        <w:rPr>
          <w:rFonts w:eastAsiaTheme="minorEastAsia"/>
          <w:color w:val="auto"/>
        </w:rPr>
      </w:pPr>
    </w:p>
    <w:p w:rsidR="00E40EDA" w:rsidRDefault="00E40EDA"/>
    <w:sectPr w:rsidR="00E40E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F1E"/>
    <w:rsid w:val="00365454"/>
    <w:rsid w:val="00E40EDA"/>
    <w:rsid w:val="00F74F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4F1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F74F1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74F1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74F1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74F1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74F1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74F1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74F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74F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74F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74F1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74F1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74F1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74F1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74F1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74F1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74F1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74F1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74F1E"/>
    <w:rPr>
      <w:rFonts w:asciiTheme="majorHAnsi" w:eastAsiaTheme="majorEastAsia" w:hAnsiTheme="majorHAnsi" w:cstheme="majorBidi"/>
      <w:i/>
      <w:iCs/>
      <w:color w:val="404040" w:themeColor="text1" w:themeTint="BF"/>
      <w:sz w:val="20"/>
      <w:szCs w:val="20"/>
    </w:rPr>
  </w:style>
  <w:style w:type="table" w:styleId="Tabellenraster">
    <w:name w:val="Table Grid"/>
    <w:basedOn w:val="NormaleTabelle"/>
    <w:uiPriority w:val="59"/>
    <w:rsid w:val="00F74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74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4F1E"/>
    <w:rPr>
      <w:rFonts w:ascii="Tahoma" w:hAnsi="Tahoma" w:cs="Tahoma"/>
      <w:color w:val="1D1B11" w:themeColor="background2" w:themeShade="1A"/>
      <w:sz w:val="16"/>
      <w:szCs w:val="16"/>
    </w:rPr>
  </w:style>
  <w:style w:type="paragraph" w:styleId="Textkrper2">
    <w:name w:val="Body Text 2"/>
    <w:basedOn w:val="Standard"/>
    <w:link w:val="Textkrper2Zchn"/>
    <w:uiPriority w:val="99"/>
    <w:semiHidden/>
    <w:unhideWhenUsed/>
    <w:rsid w:val="00F74F1E"/>
    <w:pPr>
      <w:spacing w:after="120" w:line="480" w:lineRule="auto"/>
    </w:pPr>
  </w:style>
  <w:style w:type="character" w:customStyle="1" w:styleId="Textkrper2Zchn">
    <w:name w:val="Textkörper 2 Zchn"/>
    <w:basedOn w:val="Absatz-Standardschriftart"/>
    <w:link w:val="Textkrper2"/>
    <w:uiPriority w:val="99"/>
    <w:semiHidden/>
    <w:rsid w:val="00F74F1E"/>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4F1E"/>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F74F1E"/>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F74F1E"/>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F74F1E"/>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F74F1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74F1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74F1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74F1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74F1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74F1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74F1E"/>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F74F1E"/>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F74F1E"/>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F74F1E"/>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74F1E"/>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74F1E"/>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74F1E"/>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74F1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74F1E"/>
    <w:rPr>
      <w:rFonts w:asciiTheme="majorHAnsi" w:eastAsiaTheme="majorEastAsia" w:hAnsiTheme="majorHAnsi" w:cstheme="majorBidi"/>
      <w:i/>
      <w:iCs/>
      <w:color w:val="404040" w:themeColor="text1" w:themeTint="BF"/>
      <w:sz w:val="20"/>
      <w:szCs w:val="20"/>
    </w:rPr>
  </w:style>
  <w:style w:type="table" w:styleId="Tabellenraster">
    <w:name w:val="Table Grid"/>
    <w:basedOn w:val="NormaleTabelle"/>
    <w:uiPriority w:val="59"/>
    <w:rsid w:val="00F74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F74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4F1E"/>
    <w:rPr>
      <w:rFonts w:ascii="Tahoma" w:hAnsi="Tahoma" w:cs="Tahoma"/>
      <w:color w:val="1D1B11" w:themeColor="background2" w:themeShade="1A"/>
      <w:sz w:val="16"/>
      <w:szCs w:val="16"/>
    </w:rPr>
  </w:style>
  <w:style w:type="paragraph" w:styleId="Textkrper2">
    <w:name w:val="Body Text 2"/>
    <w:basedOn w:val="Standard"/>
    <w:link w:val="Textkrper2Zchn"/>
    <w:uiPriority w:val="99"/>
    <w:semiHidden/>
    <w:unhideWhenUsed/>
    <w:rsid w:val="00F74F1E"/>
    <w:pPr>
      <w:spacing w:after="120" w:line="480" w:lineRule="auto"/>
    </w:pPr>
  </w:style>
  <w:style w:type="character" w:customStyle="1" w:styleId="Textkrper2Zchn">
    <w:name w:val="Textkörper 2 Zchn"/>
    <w:basedOn w:val="Absatz-Standardschriftart"/>
    <w:link w:val="Textkrper2"/>
    <w:uiPriority w:val="99"/>
    <w:semiHidden/>
    <w:rsid w:val="00F74F1E"/>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Tau06</b:Tag>
    <b:SourceType>Book</b:SourceType>
    <b:Guid>{454E93A7-928A-46F9-9C46-C11F67426E06}</b:Guid>
    <b:Title>Chemie Stoff Formel Umwelt Sekundarstufe 1</b:Title>
    <b:Year>2006</b:Year>
    <b:City>Bamberg</b:City>
    <b:Publisher>C.C. Buchners Verlag</b:Publisher>
    <b:Author>
      <b:Author>
        <b:NameList>
          <b:Person>
            <b:Last>Tausch</b:Last>
            <b:First>Michael</b:First>
          </b:Person>
          <b:Person>
            <b:Last>von Wachtendonk</b:Last>
            <b:First>Magdalene</b:First>
          </b:Person>
        </b:NameList>
      </b:Author>
    </b:Author>
    <b:RefOrder>1</b:RefOrder>
  </b:Source>
</b:Sources>
</file>

<file path=customXml/itemProps1.xml><?xml version="1.0" encoding="utf-8"?>
<ds:datastoreItem xmlns:ds="http://schemas.openxmlformats.org/officeDocument/2006/customXml" ds:itemID="{B70B6912-94D7-4212-AE06-1822329D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1413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Hille</dc:creator>
  <cp:lastModifiedBy>Timm Wilke</cp:lastModifiedBy>
  <cp:revision>2</cp:revision>
  <dcterms:created xsi:type="dcterms:W3CDTF">2013-08-12T20:12:00Z</dcterms:created>
  <dcterms:modified xsi:type="dcterms:W3CDTF">2013-08-16T07:29:00Z</dcterms:modified>
</cp:coreProperties>
</file>