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AE" w:rsidRPr="003C7A8A" w:rsidRDefault="00C130AE" w:rsidP="00C130AE">
      <w:pPr>
        <w:pStyle w:val="berschrift1"/>
        <w:numPr>
          <w:ilvl w:val="0"/>
          <w:numId w:val="0"/>
        </w:numPr>
        <w:ind w:left="431"/>
      </w:pPr>
      <w:bookmarkStart w:id="0" w:name="_Toc364238650"/>
      <w:r w:rsidRPr="000F04C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90918" wp14:editId="79AEB47C">
                <wp:simplePos x="0" y="0"/>
                <wp:positionH relativeFrom="column">
                  <wp:posOffset>-57150</wp:posOffset>
                </wp:positionH>
                <wp:positionV relativeFrom="paragraph">
                  <wp:posOffset>908050</wp:posOffset>
                </wp:positionV>
                <wp:extent cx="5873115" cy="1990725"/>
                <wp:effectExtent l="0" t="0" r="13335" b="28575"/>
                <wp:wrapSquare wrapText="bothSides"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990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130AE" w:rsidRPr="007A33B3" w:rsidRDefault="00C130AE" w:rsidP="00C130AE">
                            <w:pPr>
                              <w:rPr>
                                <w:color w:val="auto"/>
                              </w:rPr>
                            </w:pPr>
                            <w:r w:rsidRPr="007A33B3">
                              <w:rPr>
                                <w:color w:val="auto"/>
                              </w:rPr>
                              <w:t xml:space="preserve">Da bis zu 60% der industriell synthetisierten Schwefelsäure für die großtechnische Herstellung von Dünger gebraucht wird, sind die Verfahren zur Herstellung von Schwefelsäure für die </w:t>
                            </w:r>
                            <w:proofErr w:type="spellStart"/>
                            <w:r w:rsidRPr="007A33B3">
                              <w:rPr>
                                <w:color w:val="auto"/>
                              </w:rPr>
                              <w:t>SuS</w:t>
                            </w:r>
                            <w:proofErr w:type="spellEnd"/>
                            <w:r w:rsidRPr="007A33B3">
                              <w:rPr>
                                <w:color w:val="auto"/>
                              </w:rPr>
                              <w:t xml:space="preserve"> auch relevant. Dieser Versuch zeigt das (Doppel-)Kontaktverfahren, das heute die gängige M</w:t>
                            </w:r>
                            <w:r w:rsidRPr="007A33B3">
                              <w:rPr>
                                <w:color w:val="auto"/>
                              </w:rPr>
                              <w:t>e</w:t>
                            </w:r>
                            <w:r w:rsidRPr="007A33B3">
                              <w:rPr>
                                <w:color w:val="auto"/>
                              </w:rPr>
                              <w:t xml:space="preserve">thode ist um Schwefelsäure großtechnisch herzustellen. Als Vorwissen sollte vorausgesetzt werden, dass die </w:t>
                            </w:r>
                            <w:proofErr w:type="spellStart"/>
                            <w:r w:rsidRPr="007A33B3">
                              <w:rPr>
                                <w:color w:val="auto"/>
                              </w:rPr>
                              <w:t>SuS</w:t>
                            </w:r>
                            <w:proofErr w:type="spellEnd"/>
                            <w:r w:rsidRPr="007A33B3">
                              <w:rPr>
                                <w:color w:val="auto"/>
                              </w:rPr>
                              <w:t xml:space="preserve"> selbstständig Reaktionsgleichungen aufstellen und interpretieren kö</w:t>
                            </w:r>
                            <w:r w:rsidRPr="007A33B3">
                              <w:rPr>
                                <w:color w:val="auto"/>
                              </w:rPr>
                              <w:t>n</w:t>
                            </w:r>
                            <w:r w:rsidRPr="007A33B3">
                              <w:rPr>
                                <w:color w:val="auto"/>
                              </w:rPr>
                              <w:t>nen. Außerdem sollte die Kompetenz zum Transfer des Modells auf die Realität geübt worden sein. Außerdem wird in diesem Experiment ein Katalysator verwendet. Das Prinzip sollte also auch vorausgesetzt werden können.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4.5pt;margin-top:71.5pt;width:462.4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" fillcolor="white [3201]" strokecolor="#4bacc6 [3208]" strokeweight="1pt">
                <v:stroke dashstyle="dash"/>
                <v:shadow color="#868686"/>
                <v:textbox>
                  <w:txbxContent>
                    <w:p w:rsidR="00C130AE" w:rsidRPr="007A33B3" w:rsidRDefault="00C130AE" w:rsidP="00C130AE">
                      <w:pPr>
                        <w:rPr>
                          <w:color w:val="auto"/>
                        </w:rPr>
                      </w:pPr>
                      <w:r w:rsidRPr="007A33B3">
                        <w:rPr>
                          <w:color w:val="auto"/>
                        </w:rPr>
                        <w:t xml:space="preserve">Da bis zu 60% der industriell synthetisierten Schwefelsäure für die großtechnische Herstellung von Dünger gebraucht wird, sind die Verfahren zur Herstellung von Schwefelsäure für die </w:t>
                      </w:r>
                      <w:proofErr w:type="spellStart"/>
                      <w:r w:rsidRPr="007A33B3">
                        <w:rPr>
                          <w:color w:val="auto"/>
                        </w:rPr>
                        <w:t>SuS</w:t>
                      </w:r>
                      <w:proofErr w:type="spellEnd"/>
                      <w:r w:rsidRPr="007A33B3">
                        <w:rPr>
                          <w:color w:val="auto"/>
                        </w:rPr>
                        <w:t xml:space="preserve"> auch relevant. Dieser Versuch zeigt das (Doppel-)Kontaktverfahren, das heute die gängige M</w:t>
                      </w:r>
                      <w:r w:rsidRPr="007A33B3">
                        <w:rPr>
                          <w:color w:val="auto"/>
                        </w:rPr>
                        <w:t>e</w:t>
                      </w:r>
                      <w:r w:rsidRPr="007A33B3">
                        <w:rPr>
                          <w:color w:val="auto"/>
                        </w:rPr>
                        <w:t xml:space="preserve">thode ist um Schwefelsäure großtechnisch herzustellen. Als Vorwissen sollte vorausgesetzt werden, dass die </w:t>
                      </w:r>
                      <w:proofErr w:type="spellStart"/>
                      <w:r w:rsidRPr="007A33B3">
                        <w:rPr>
                          <w:color w:val="auto"/>
                        </w:rPr>
                        <w:t>SuS</w:t>
                      </w:r>
                      <w:proofErr w:type="spellEnd"/>
                      <w:r w:rsidRPr="007A33B3">
                        <w:rPr>
                          <w:color w:val="auto"/>
                        </w:rPr>
                        <w:t xml:space="preserve"> selbstständig Reaktionsgleichungen aufstellen und interpretieren kö</w:t>
                      </w:r>
                      <w:r w:rsidRPr="007A33B3">
                        <w:rPr>
                          <w:color w:val="auto"/>
                        </w:rPr>
                        <w:t>n</w:t>
                      </w:r>
                      <w:r w:rsidRPr="007A33B3">
                        <w:rPr>
                          <w:color w:val="auto"/>
                        </w:rPr>
                        <w:t>nen. Außerdem sollte die Kompetenz zum Transfer des Modells auf die Realität geübt worden sein. Außerdem wird in diesem Experiment ein Katalysator verwendet. Das Prinzip sollte also auch vorausgesetzt werden können.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04C1">
        <w:t xml:space="preserve">V 1 – </w:t>
      </w:r>
      <w:r>
        <w:t>Darstellung von Schwefelsäure nach dem Kontaktverfa</w:t>
      </w:r>
      <w:r>
        <w:t>h</w:t>
      </w:r>
      <w:r>
        <w:t>ren (Modellversuch)</w:t>
      </w:r>
      <w:bookmarkEnd w:id="0"/>
    </w:p>
    <w:p w:rsidR="00C130AE" w:rsidRDefault="00C130AE" w:rsidP="00C130AE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C130AE" w:rsidRPr="009C5E28" w:rsidTr="00CB5D98">
        <w:tc>
          <w:tcPr>
            <w:tcW w:w="9322" w:type="dxa"/>
            <w:gridSpan w:val="9"/>
            <w:shd w:val="clear" w:color="auto" w:fill="4F81BD"/>
            <w:vAlign w:val="center"/>
          </w:tcPr>
          <w:p w:rsidR="00C130AE" w:rsidRPr="009C5E28" w:rsidRDefault="00C130AE" w:rsidP="00CB5D98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C130AE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597AB1" w:rsidRDefault="00C130AE" w:rsidP="00CB5D98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Pyrit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t>-</w:t>
            </w:r>
          </w:p>
        </w:tc>
      </w:tr>
      <w:tr w:rsidR="00C130AE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Mangan(IV)-oxid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H: 272-302+332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P: 221</w:t>
            </w:r>
          </w:p>
        </w:tc>
      </w:tr>
      <w:tr w:rsidR="00C130AE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Schwefelsäure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H: 314-290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P: 280-301+330+331-309-310-305+351+338</w:t>
            </w:r>
          </w:p>
        </w:tc>
      </w:tr>
      <w:tr w:rsidR="00C130AE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Bariumchlorid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H: 332-301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P: 301+310</w:t>
            </w:r>
          </w:p>
        </w:tc>
      </w:tr>
      <w:tr w:rsidR="00C130AE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Eis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-</w:t>
            </w:r>
          </w:p>
        </w:tc>
      </w:tr>
      <w:tr w:rsidR="00C130AE" w:rsidRPr="009C5E28" w:rsidTr="00CB5D9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Default="00C130AE" w:rsidP="00CB5D98">
            <w:pPr>
              <w:spacing w:after="0"/>
              <w:jc w:val="center"/>
            </w:pPr>
            <w:r>
              <w:t>-</w:t>
            </w:r>
          </w:p>
        </w:tc>
      </w:tr>
      <w:tr w:rsidR="00C130AE" w:rsidRPr="009C5E28" w:rsidTr="00CB5D98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zh-TW"/>
              </w:rPr>
              <w:drawing>
                <wp:inline distT="0" distB="0" distL="0" distR="0" wp14:anchorId="1FD1D9DE" wp14:editId="509FD1C5">
                  <wp:extent cx="504190" cy="5041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DAAE037" wp14:editId="1F68A9CD">
                  <wp:extent cx="504190" cy="5041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07A4F91" wp14:editId="1F4B6DBB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1B81FBA0" wp14:editId="649EF27A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0A43BDE" wp14:editId="379955D1">
                  <wp:extent cx="504190" cy="5041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DBFA3B8" wp14:editId="4BF8AC99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A317D44" wp14:editId="379F6E26">
                  <wp:extent cx="504190" cy="5041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23B1BE3" wp14:editId="50A986CA">
                  <wp:extent cx="511175" cy="511175"/>
                  <wp:effectExtent l="0" t="0" r="3175" b="317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130AE" w:rsidRPr="009C5E28" w:rsidRDefault="00C130AE" w:rsidP="00CB5D98">
            <w:pPr>
              <w:spacing w:after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9D19950" wp14:editId="58F385E7">
                  <wp:extent cx="504190" cy="50419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0AE" w:rsidRDefault="00C130AE" w:rsidP="00C130AE">
      <w:pPr>
        <w:tabs>
          <w:tab w:val="left" w:pos="1701"/>
          <w:tab w:val="left" w:pos="1985"/>
        </w:tabs>
        <w:ind w:left="1980" w:hanging="1980"/>
      </w:pPr>
    </w:p>
    <w:p w:rsidR="00C130AE" w:rsidRDefault="00C130AE" w:rsidP="00C130AE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2 Waschflaschen, Verbrennungsrohr, Glaswolle, Wasserstrahlpumpe, Ve</w:t>
      </w:r>
      <w:r>
        <w:t>r</w:t>
      </w:r>
      <w:r>
        <w:t xml:space="preserve">bindungsschläuche, Becherglas, Bunsenbrenner, </w:t>
      </w:r>
      <w:proofErr w:type="spellStart"/>
      <w:r>
        <w:t>Pasteurpipette</w:t>
      </w:r>
      <w:proofErr w:type="spellEnd"/>
      <w:r>
        <w:t>, Reagen</w:t>
      </w:r>
      <w:r>
        <w:t>z</w:t>
      </w:r>
      <w:r>
        <w:t>glas</w:t>
      </w:r>
    </w:p>
    <w:p w:rsidR="00C130AE" w:rsidRDefault="00C130AE" w:rsidP="00C130AE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Pyrit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FeS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>
        <w:t>), Mangan(IV)-oxid, konzentrierte Schwefelsäure, Bariumchl</w:t>
      </w:r>
      <w:r>
        <w:t>o</w:t>
      </w:r>
      <w:r>
        <w:t>rid-</w:t>
      </w:r>
      <w:proofErr w:type="spellStart"/>
      <w:r>
        <w:t>Lsg</w:t>
      </w:r>
      <w:proofErr w:type="spellEnd"/>
      <w:r>
        <w:t>., Eis, Wasser</w:t>
      </w:r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  <w:jc w:val="center"/>
      </w:pPr>
      <w:r>
        <w:rPr>
          <w:noProof/>
          <w:lang w:eastAsia="zh-TW"/>
        </w:rPr>
        <w:lastRenderedPageBreak/>
        <w:drawing>
          <wp:inline distT="0" distB="0" distL="0" distR="0" wp14:anchorId="1B6D7725" wp14:editId="51808874">
            <wp:extent cx="5114925" cy="1266825"/>
            <wp:effectExtent l="76200" t="76200" r="142875" b="14287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9" b="15576"/>
                    <a:stretch/>
                  </pic:blipFill>
                  <pic:spPr bwMode="auto">
                    <a:xfrm>
                      <a:off x="0" y="0"/>
                      <a:ext cx="5113234" cy="126640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AE" w:rsidRPr="002939AE" w:rsidRDefault="00C130AE" w:rsidP="00C130AE">
      <w:pPr>
        <w:tabs>
          <w:tab w:val="left" w:pos="1701"/>
          <w:tab w:val="left" w:pos="1985"/>
        </w:tabs>
        <w:ind w:left="1980" w:hanging="1980"/>
        <w:jc w:val="center"/>
        <w:rPr>
          <w:sz w:val="20"/>
          <w:szCs w:val="20"/>
        </w:rPr>
      </w:pPr>
      <w:r>
        <w:rPr>
          <w:sz w:val="20"/>
          <w:szCs w:val="20"/>
        </w:rPr>
        <w:t>Abb. 1 - Versuchsaufbau „Kontaktverfahren zur Herstellung von Schwefelsäure“</w:t>
      </w:r>
    </w:p>
    <w:p w:rsidR="00C130AE" w:rsidRPr="00310514" w:rsidRDefault="00C130AE" w:rsidP="00C130AE">
      <w:pPr>
        <w:tabs>
          <w:tab w:val="left" w:pos="1701"/>
          <w:tab w:val="left" w:pos="1985"/>
        </w:tabs>
        <w:ind w:left="1980" w:hanging="1980"/>
        <w:rPr>
          <w:lang w:eastAsia="zh-TW"/>
        </w:rPr>
      </w:pPr>
      <w:proofErr w:type="gramStart"/>
      <w:r>
        <w:t>Durchführung :</w:t>
      </w:r>
      <w:proofErr w:type="gramEnd"/>
      <w:r>
        <w:t xml:space="preserve"> </w:t>
      </w:r>
      <w:r>
        <w:tab/>
      </w:r>
      <w:r>
        <w:tab/>
        <w:t>Der Versuchsaufbau wird nach Abb. 1 aufgebaut. In die rechte Waschfl</w:t>
      </w:r>
      <w:r>
        <w:t>a</w:t>
      </w:r>
      <w:r>
        <w:t xml:space="preserve">sche wird konzentrierte Schwefelsäure gegeben und in </w:t>
      </w:r>
      <w:proofErr w:type="gramStart"/>
      <w:r>
        <w:t>die</w:t>
      </w:r>
      <w:proofErr w:type="gramEnd"/>
      <w:r>
        <w:t xml:space="preserve"> linke (kaltes) Wasser, ggf. mit einem </w:t>
      </w:r>
      <w:proofErr w:type="spellStart"/>
      <w:r>
        <w:t>Eisbad</w:t>
      </w:r>
      <w:proofErr w:type="spellEnd"/>
      <w:r>
        <w:t xml:space="preserve"> versehen. In das Verbrennungsrohr gibt man links Pyrit und von der rechten Seite schiebt man Glaswolle nah an das Pyrit. Dann wird Mangan(IV)-oxid von der rechten Seite in das Rohr gefüllt. Das Mangan(IV)-oxid wird mit dem Bunsenbrenner erhitzt bis es glüht. Das gleiche wird mit dem Pyrit gemacht. Die Wasserstrahlpu</w:t>
      </w:r>
      <w:r>
        <w:t>m</w:t>
      </w:r>
      <w:r>
        <w:t>pe/das Vakuum wird ganz rechts an der Waschflasche angeschlossen, ei</w:t>
      </w:r>
      <w:r>
        <w:t>n</w:t>
      </w:r>
      <w:r>
        <w:t>geschaltet, so dass das gasförmige Reaktionsprodukt von links nach rechts durch die Apparatur gesaugt wird. Der Versuch wird nach 3-5 Minuten b</w:t>
      </w:r>
      <w:r>
        <w:t>e</w:t>
      </w:r>
      <w:r>
        <w:t>endet. Aus der linken Waschflasche wird mit einer Pipette eine Probe g</w:t>
      </w:r>
      <w:r>
        <w:t>e</w:t>
      </w:r>
      <w:r>
        <w:t>nommen und in die Bariumchlorid-Lösung gegeben. Zusätzlich wird ein Streifen Indikatorp</w:t>
      </w:r>
      <w:r>
        <w:t>a</w:t>
      </w:r>
      <w:r>
        <w:t>pier in die Lösung getaucht.</w:t>
      </w:r>
    </w:p>
    <w:p w:rsidR="00C130AE" w:rsidRDefault="00C130AE" w:rsidP="00C130AE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Es entsteht ein weißer Rauch, welcher durch die Apparatur gesaugt wird. Dieser wird durch die erste Waschflasche gesaugt, wonach der Rauch i</w:t>
      </w:r>
      <w:r>
        <w:t>m</w:t>
      </w:r>
      <w:r>
        <w:t>mer noch weiß ist. Erst wenn er durch die zweite Flasche gesaugt wurde, ist er nicht mehr sichtbar. Die Probe mit dem Bariumchlorid ist positiv und der PH-Streifen zeigt einen PH-Wert von 3 an. Bei der Zugabe von Bariu</w:t>
      </w:r>
      <w:r>
        <w:t>m</w:t>
      </w:r>
      <w:r>
        <w:t>chlorid zu einer Probe fällt ein weißer Feststoff aus.</w:t>
      </w:r>
    </w:p>
    <w:p w:rsidR="00C130AE" w:rsidRDefault="00C130AE" w:rsidP="00C130AE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zh-TW"/>
        </w:rPr>
        <w:lastRenderedPageBreak/>
        <w:drawing>
          <wp:inline distT="0" distB="0" distL="0" distR="0" wp14:anchorId="110E1B6A" wp14:editId="653E7E28">
            <wp:extent cx="2800350" cy="1560485"/>
            <wp:effectExtent l="76200" t="76200" r="133350" b="13525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t="8651" r="19540" b="7655"/>
                    <a:stretch/>
                  </pic:blipFill>
                  <pic:spPr bwMode="auto">
                    <a:xfrm>
                      <a:off x="0" y="0"/>
                      <a:ext cx="2816490" cy="156947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AE" w:rsidRPr="003E249A" w:rsidRDefault="00C130AE" w:rsidP="00C130AE">
      <w:pPr>
        <w:pStyle w:val="Beschriftung"/>
        <w:jc w:val="center"/>
        <w:rPr>
          <w:noProof/>
        </w:rPr>
      </w:pPr>
      <w:r>
        <w:t xml:space="preserve">Abb. 2 - </w:t>
      </w:r>
      <w:r>
        <w:rPr>
          <w:noProof/>
        </w:rPr>
        <w:t xml:space="preserve"> Das Indikatorpapier zeigt einen PH-Wert von 3 an.</w:t>
      </w:r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>Deutung:</w:t>
      </w:r>
      <w:r>
        <w:tab/>
      </w:r>
      <w:r>
        <w:tab/>
        <w:t xml:space="preserve">Wird </w:t>
      </w:r>
      <w:proofErr w:type="gramStart"/>
      <w:r>
        <w:t>das</w:t>
      </w:r>
      <w:proofErr w:type="gramEnd"/>
      <w:r>
        <w:t xml:space="preserve"> Pyrit „geröstet“ entsteht Schwefeldioxid:</w:t>
      </w:r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 FeS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(s)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11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 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2 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w:rPr>
                <w:rFonts w:ascii="Cambria Math" w:hAnsi="Cambria Math"/>
              </w:rPr>
              <m:t>(s)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8 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w:rPr>
                <w:rFonts w:ascii="Cambria Math" w:hAnsi="Cambria Math"/>
              </w:rPr>
              <m:t>(g)</m:t>
            </m:r>
          </m:sub>
        </m:sSub>
      </m:oMath>
      <w:r>
        <w:t xml:space="preserve"> </w:t>
      </w:r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>Das so entstandene Schwefeldioxid wird über das Mangan(IV)-oxid gele</w:t>
      </w:r>
      <w:r>
        <w:t>i</w:t>
      </w:r>
      <w:r>
        <w:t xml:space="preserve">tet, da es bei Raumtemperatur nicht mit Sauerstoff reagiert. Deshalb muss ein Katalysator verwendet werden. Wird das Gas über das Mangan(IV)-oxid geleitet, reagiert es mit Sauerstoff aus der Luft zu </w:t>
      </w:r>
      <w:proofErr w:type="spellStart"/>
      <w:r>
        <w:t>Schwefeltrioxid</w:t>
      </w:r>
      <w:proofErr w:type="spellEnd"/>
      <w: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>):</w:t>
      </w:r>
    </w:p>
    <w:p w:rsidR="00C130AE" w:rsidRPr="009303BB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groupChr>
          </m:e>
        </m:box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 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; ∆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</w:rPr>
          <m:t>=-197 kJ/Reaktionsumsatz</m:t>
        </m:r>
      </m:oMath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>Wenn dieses Gas durch Wasser geleitet wird, löst sich nur wenig davon:</w:t>
      </w:r>
    </w:p>
    <w:p w:rsidR="00C130AE" w:rsidRPr="009303BB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+3 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(l)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 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</m:oMath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 xml:space="preserve">Deshalb wird es durch konzentrierte Schwefelsäure geleitet, da es so zu </w:t>
      </w:r>
      <w:proofErr w:type="spellStart"/>
      <w:r>
        <w:t>Dischwefelsäure</w:t>
      </w:r>
      <w:proofErr w:type="spellEnd"/>
      <w:r>
        <w:t xml:space="preserve"> reagiert:</w:t>
      </w:r>
    </w:p>
    <w:p w:rsidR="00C130AE" w:rsidRPr="009303BB" w:rsidRDefault="00C130AE" w:rsidP="00C130AE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</m:oMath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Der Nachweis mit der Bariumchlorid-Lösung zeigt, dass in der Lösung in der Waschflasche Sulfat-Ionen vorhanden sind:</w:t>
      </w:r>
    </w:p>
    <w:p w:rsidR="00C130AE" w:rsidRDefault="00C130AE" w:rsidP="00C130AE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Ba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BaSO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(s)</m:t>
            </m:r>
          </m:sub>
        </m:sSub>
      </m:oMath>
    </w:p>
    <w:p w:rsidR="00C130AE" w:rsidRPr="00AC0EFB" w:rsidRDefault="00C130AE" w:rsidP="00C130AE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>Entsorgung:</w:t>
      </w:r>
      <w:r>
        <w:rPr>
          <w:rFonts w:eastAsiaTheme="minorEastAsia"/>
        </w:rPr>
        <w:tab/>
      </w:r>
      <w:r>
        <w:rPr>
          <w:rFonts w:eastAsiaTheme="minorEastAsia"/>
        </w:rPr>
        <w:tab/>
        <w:t>Das Mangan(IV)-oxid kann wiederverwendet werden. Die Pyrit-Reste werden in der Feststofftonne entsorgt. Die Hergestellte Schwefelsäure kann weiterverwendet werden, sonst wird sie neutralisiert und im Abguss en</w:t>
      </w:r>
      <w:r>
        <w:rPr>
          <w:rFonts w:eastAsiaTheme="minorEastAsia"/>
        </w:rPr>
        <w:t>t</w:t>
      </w:r>
      <w:r>
        <w:rPr>
          <w:rFonts w:eastAsiaTheme="minorEastAsia"/>
        </w:rPr>
        <w:t>sorgt. Die Barium-Lösung wird im Schwermetallbehälter entsorgt.</w:t>
      </w:r>
    </w:p>
    <w:p w:rsidR="00C130AE" w:rsidRDefault="00C130AE" w:rsidP="00C130AE">
      <w:pPr>
        <w:spacing w:line="276" w:lineRule="auto"/>
        <w:ind w:left="1985" w:hanging="1985"/>
        <w:jc w:val="left"/>
      </w:pPr>
      <w:r>
        <w:t>Literatur:</w:t>
      </w:r>
      <w:r>
        <w:tab/>
      </w:r>
      <w:r w:rsidRPr="000F6DB6">
        <w:t>http://www.seilnacht.com/Lexikon/Doppelko.htm</w:t>
      </w:r>
      <w:r>
        <w:t>, 5.08.2013, 19:47 Uhr.</w:t>
      </w:r>
    </w:p>
    <w:p w:rsidR="00C130AE" w:rsidRDefault="00C130AE" w:rsidP="00C130AE">
      <w:pPr>
        <w:spacing w:line="276" w:lineRule="auto"/>
        <w:ind w:left="1985" w:hanging="1985"/>
        <w:jc w:val="left"/>
      </w:pPr>
      <w:r>
        <w:tab/>
        <w:t>W. Glöckner et al., Handbuch der experimentellen Chemie Sekundarb</w:t>
      </w:r>
      <w:r>
        <w:t>e</w:t>
      </w:r>
      <w:r>
        <w:t xml:space="preserve">reich II – Band 1: Wasserstoff, Stickstoff- und Sauerstoffgruppe, </w:t>
      </w:r>
      <w:proofErr w:type="spellStart"/>
      <w:r>
        <w:t>Aulis</w:t>
      </w:r>
      <w:proofErr w:type="spellEnd"/>
      <w:r>
        <w:t>, 2002, 289-291.</w:t>
      </w:r>
    </w:p>
    <w:p w:rsidR="00C130AE" w:rsidRDefault="00C130AE" w:rsidP="00C130AE">
      <w:pPr>
        <w:spacing w:line="276" w:lineRule="auto"/>
        <w:ind w:left="1985" w:hanging="1985"/>
        <w:jc w:val="left"/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3C047369" wp14:editId="11CC68D3">
                <wp:extent cx="5873115" cy="2247900"/>
                <wp:effectExtent l="0" t="0" r="13335" b="19050"/>
                <wp:docPr id="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130AE" w:rsidRPr="00530A18" w:rsidRDefault="00C130AE" w:rsidP="00C130AE">
                            <w:r>
                              <w:t>Dieses Lehrerdemonstrationsexperiment zeigt im Modell, wie eine der wichtigsten Säuren in der Indus</w:t>
                            </w:r>
                            <w:bookmarkStart w:id="1" w:name="_GoBack"/>
                            <w:r>
                              <w:t xml:space="preserve">trie hergestellt wird. Dabei ist zu beachten, dass konzentrierte Schwefelsäure die eigene Herstellung katalysiert.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SO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>
                              <w:t xml:space="preserve"> löst sich schlecht in Wasser, deshalb ist in der ersten Waschflasche der Bariumsulfat-Nachweis ausgeblieben. Es konnte jedoch eine Veränderung des PH-Wertes beobachtet werden. Dieses Experiment kann als Erarbeitungsexperiment ei</w:t>
                            </w:r>
                            <w:r>
                              <w:t>n</w:t>
                            </w:r>
                            <w:r>
                              <w:t xml:space="preserve">gesetzt werden und es kann thematisch an die Verwendungsmöglichkeiten der Schwefelsäure angeknüpft werden (Farbstoffsynthese, Sprengstoffdarstellung, Düngemittelherstellung, etc.). Da bei </w:t>
                            </w:r>
                            <w:proofErr w:type="gramStart"/>
                            <w:r>
                              <w:t>dieser</w:t>
                            </w:r>
                            <w:proofErr w:type="gramEnd"/>
                            <w:r>
                              <w:t xml:space="preserve"> Reaktionen Schwefeloxide entstehen sollte dieser Versuch unbedingt unterm Abzug durchgeführt werden, da diese gefährlich sind.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3" o:spid="_x0000_s1027" type="#_x0000_t202" style="width:462.45pt;height:1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C130AE" w:rsidRPr="00530A18" w:rsidRDefault="00C130AE" w:rsidP="00C130AE">
                      <w:r>
                        <w:t>Dieses Lehrerdemonstrationsexperiment zeigt im Modell, wie eine der wichtigsten Säuren in der Indus</w:t>
                      </w:r>
                      <w:bookmarkStart w:id="2" w:name="_GoBack"/>
                      <w:r>
                        <w:t xml:space="preserve">trie hergestellt wird. Dabei ist zu beachten, dass konzentrierte Schwefelsäure die eigene Herstellung katalysiert.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oMath>
                      <w:r>
                        <w:t xml:space="preserve"> löst sich schlecht in Wasser, deshalb ist in der ersten Waschflasche der Bariumsulfat-Nachweis ausgeblieben. Es konnte jedoch eine Veränderung des PH-Wertes beobachtet werden. Dieses Experiment kann als Erarbeitungsexperiment ei</w:t>
                      </w:r>
                      <w:r>
                        <w:t>n</w:t>
                      </w:r>
                      <w:r>
                        <w:t xml:space="preserve">gesetzt werden und es kann thematisch an die Verwendungsmöglichkeiten der Schwefelsäure angeknüpft werden (Farbstoffsynthese, Sprengstoffdarstellung, Düngemittelherstellung, etc.). Da bei </w:t>
                      </w:r>
                      <w:proofErr w:type="gramStart"/>
                      <w:r>
                        <w:t>dieser</w:t>
                      </w:r>
                      <w:proofErr w:type="gramEnd"/>
                      <w:r>
                        <w:t xml:space="preserve"> Reaktionen Schwefeloxide entstehen sollte dieser Versuch unbedingt unterm Abzug durchgeführt werden, da diese gefährlich sind.</w:t>
                      </w:r>
                      <w:bookmarkEnd w:id="2"/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</w:p>
    <w:p w:rsidR="00BE6DD9" w:rsidRPr="00C130AE" w:rsidRDefault="00BE6DD9" w:rsidP="00C130AE"/>
    <w:sectPr w:rsidR="00BE6DD9" w:rsidRPr="00C130AE" w:rsidSect="00105256">
      <w:headerReference w:type="default" r:id="rId2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2F0" w:rsidRDefault="004E72F0" w:rsidP="009524CC">
      <w:pPr>
        <w:spacing w:after="0"/>
      </w:pPr>
      <w:r>
        <w:separator/>
      </w:r>
    </w:p>
  </w:endnote>
  <w:endnote w:type="continuationSeparator" w:id="0">
    <w:p w:rsidR="004E72F0" w:rsidRDefault="004E72F0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2F0" w:rsidRDefault="004E72F0" w:rsidP="009524CC">
      <w:pPr>
        <w:spacing w:after="0"/>
      </w:pPr>
      <w:r>
        <w:separator/>
      </w:r>
    </w:p>
  </w:footnote>
  <w:footnote w:type="continuationSeparator" w:id="0">
    <w:p w:rsidR="004E72F0" w:rsidRDefault="004E72F0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C130AE" w:rsidRPr="00C130AE">
            <w:rPr>
              <w:b/>
              <w:bCs/>
              <w:noProof/>
              <w:sz w:val="20"/>
              <w:szCs w:val="20"/>
            </w:rPr>
            <w:t>V 1 – Darstellung von Schwefelsäure nach dem Kontaktverfahren</w:t>
          </w:r>
          <w:r w:rsidR="00C130AE">
            <w:rPr>
              <w:noProof/>
              <w:sz w:val="20"/>
              <w:szCs w:val="20"/>
            </w:rPr>
            <w:t xml:space="preserve"> (Modellversuch)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C130AE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E72F0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0AE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42B8F-6EFB-4FCC-B148-1D5082EA6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Niklas Heier</cp:lastModifiedBy>
  <cp:revision>2</cp:revision>
  <cp:lastPrinted>2012-06-21T19:47:00Z</cp:lastPrinted>
  <dcterms:created xsi:type="dcterms:W3CDTF">2013-08-14T20:08:00Z</dcterms:created>
  <dcterms:modified xsi:type="dcterms:W3CDTF">2013-08-14T20:08:00Z</dcterms:modified>
</cp:coreProperties>
</file>