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07" w:rsidRDefault="00027407" w:rsidP="00027407">
      <w:pPr>
        <w:pStyle w:val="berschrift1"/>
        <w:numPr>
          <w:ilvl w:val="0"/>
          <w:numId w:val="0"/>
        </w:numPr>
        <w:ind w:left="431"/>
      </w:pPr>
      <w:bookmarkStart w:id="0" w:name="_Toc364238655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8992E" wp14:editId="51C94610">
                <wp:simplePos x="0" y="0"/>
                <wp:positionH relativeFrom="column">
                  <wp:posOffset>-56515</wp:posOffset>
                </wp:positionH>
                <wp:positionV relativeFrom="paragraph">
                  <wp:posOffset>665480</wp:posOffset>
                </wp:positionV>
                <wp:extent cx="5873115" cy="1657350"/>
                <wp:effectExtent l="0" t="0" r="13335" b="19050"/>
                <wp:wrapSquare wrapText="bothSides"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657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7407" w:rsidRPr="00AC0EFB" w:rsidRDefault="00027407" w:rsidP="00027407">
                            <w:pPr>
                              <w:rPr>
                                <w:color w:val="auto"/>
                              </w:rPr>
                            </w:pPr>
                            <w:r w:rsidRPr="00AC0EFB">
                              <w:rPr>
                                <w:color w:val="auto"/>
                              </w:rPr>
                              <w:t>Schwefelsäure liegt in gelöster Form als Hydrogensulfat oder Sulfat vor. Um einen Nachweis für Sulfat-Ionen selbst zu erarbeiten ist das folgende Schülerexperiment geeignet. Als Vorwi</w:t>
                            </w:r>
                            <w:r w:rsidRPr="00AC0EFB">
                              <w:rPr>
                                <w:color w:val="auto"/>
                              </w:rPr>
                              <w:t>s</w:t>
                            </w:r>
                            <w:r w:rsidRPr="00AC0EFB">
                              <w:rPr>
                                <w:color w:val="auto"/>
                              </w:rPr>
                              <w:t>sen sollte bekannt sein, dass Säuren in gelöster Form als Ionen vorliegen, welche mit bestim</w:t>
                            </w:r>
                            <w:r w:rsidRPr="00AC0EFB">
                              <w:rPr>
                                <w:color w:val="auto"/>
                              </w:rPr>
                              <w:t>m</w:t>
                            </w:r>
                            <w:r w:rsidRPr="00AC0EFB">
                              <w:rPr>
                                <w:color w:val="auto"/>
                              </w:rPr>
                              <w:t xml:space="preserve">ten Verfahren nachgewiesen werden können. Das Experiment könnte von den </w:t>
                            </w:r>
                            <w:proofErr w:type="spellStart"/>
                            <w:r w:rsidRPr="00AC0EFB">
                              <w:rPr>
                                <w:color w:val="auto"/>
                              </w:rPr>
                              <w:t>SuS</w:t>
                            </w:r>
                            <w:proofErr w:type="spellEnd"/>
                            <w:r w:rsidRPr="00AC0EFB">
                              <w:rPr>
                                <w:color w:val="auto"/>
                              </w:rPr>
                              <w:t xml:space="preserve"> somit selbst erarbeitet werden. Als Vorwissen sollten Ionen und Salzbildung bekannt sein. Die Löslichkeit  spielt eine wichtige Rolle bei dieser Reaktion und sollte auch bekannt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7" o:spid="_x0000_s1026" type="#_x0000_t202" style="position:absolute;left:0;text-align:left;margin-left:-4.45pt;margin-top:52.4pt;width:462.4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" fillcolor="white [3201]" strokecolor="#4bacc6 [3208]" strokeweight="1pt">
                <v:stroke dashstyle="dash"/>
                <v:shadow color="#868686"/>
                <v:textbox>
                  <w:txbxContent>
                    <w:p w:rsidR="00027407" w:rsidRPr="00AC0EFB" w:rsidRDefault="00027407" w:rsidP="00027407">
                      <w:pPr>
                        <w:rPr>
                          <w:color w:val="auto"/>
                        </w:rPr>
                      </w:pPr>
                      <w:r w:rsidRPr="00AC0EFB">
                        <w:rPr>
                          <w:color w:val="auto"/>
                        </w:rPr>
                        <w:t>Schwefelsäure liegt in gelöster Form als Hydrogensulfat oder Sulfat vor. Um einen Nachweis für Sulfat-Ionen selbst zu erarbeiten ist das folgende Schülerexperiment geeignet. Als Vorwi</w:t>
                      </w:r>
                      <w:r w:rsidRPr="00AC0EFB">
                        <w:rPr>
                          <w:color w:val="auto"/>
                        </w:rPr>
                        <w:t>s</w:t>
                      </w:r>
                      <w:r w:rsidRPr="00AC0EFB">
                        <w:rPr>
                          <w:color w:val="auto"/>
                        </w:rPr>
                        <w:t>sen sollte bekannt sein, dass Säuren in gelöster Form als Ionen vorliegen, welche mit bestim</w:t>
                      </w:r>
                      <w:r w:rsidRPr="00AC0EFB">
                        <w:rPr>
                          <w:color w:val="auto"/>
                        </w:rPr>
                        <w:t>m</w:t>
                      </w:r>
                      <w:r w:rsidRPr="00AC0EFB">
                        <w:rPr>
                          <w:color w:val="auto"/>
                        </w:rPr>
                        <w:t xml:space="preserve">ten Verfahren nachgewiesen werden können. Das Experiment könnte von den </w:t>
                      </w:r>
                      <w:proofErr w:type="spellStart"/>
                      <w:r w:rsidRPr="00AC0EFB">
                        <w:rPr>
                          <w:color w:val="auto"/>
                        </w:rPr>
                        <w:t>SuS</w:t>
                      </w:r>
                      <w:proofErr w:type="spellEnd"/>
                      <w:r w:rsidRPr="00AC0EFB">
                        <w:rPr>
                          <w:color w:val="auto"/>
                        </w:rPr>
                        <w:t xml:space="preserve"> somit selbst erarbeitet werden. Als Vorwissen sollten Ionen und Salzbildung bekannt sein. Die Löslichkeit  spielt eine wichtige Rolle bei dieser Reaktion und sollte auch bekannt sein.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GoBack"/>
      <w:bookmarkEnd w:id="1"/>
      <w:r>
        <w:t>V 5 –Der Sulfat-Nachweis</w:t>
      </w:r>
      <w:bookmarkEnd w:id="0"/>
      <w:r>
        <w:t xml:space="preserve"> </w:t>
      </w:r>
    </w:p>
    <w:p w:rsidR="00027407" w:rsidRDefault="00027407" w:rsidP="00027407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027407" w:rsidRPr="009C5E28" w:rsidTr="00CB5D98">
        <w:tc>
          <w:tcPr>
            <w:tcW w:w="9322" w:type="dxa"/>
            <w:gridSpan w:val="9"/>
            <w:shd w:val="clear" w:color="auto" w:fill="4F81BD"/>
            <w:vAlign w:val="center"/>
          </w:tcPr>
          <w:p w:rsidR="00027407" w:rsidRPr="009C5E28" w:rsidRDefault="00027407" w:rsidP="00CB5D98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027407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 w:line="276" w:lineRule="auto"/>
              <w:jc w:val="center"/>
              <w:rPr>
                <w:b/>
                <w:bCs/>
              </w:rPr>
            </w:pPr>
            <w:r w:rsidRPr="00BD7AC8">
              <w:t>Schwefelsäure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/>
              <w:jc w:val="center"/>
            </w:pPr>
            <w:r w:rsidRPr="00BD7AC8">
              <w:t>H: 314-290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t>P: 280-301+330+331-309-310-305+351+338</w:t>
            </w:r>
          </w:p>
        </w:tc>
      </w:tr>
      <w:tr w:rsidR="00027407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 w:line="276" w:lineRule="auto"/>
              <w:jc w:val="center"/>
            </w:pPr>
            <w:r w:rsidRPr="00BD7AC8">
              <w:t>Bariumchlorid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/>
              <w:jc w:val="center"/>
            </w:pPr>
            <w:r w:rsidRPr="00BD7AC8">
              <w:t>H: 332-301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P: 301+310</w:t>
            </w:r>
          </w:p>
        </w:tc>
      </w:tr>
      <w:tr w:rsidR="00027407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 w:line="276" w:lineRule="auto"/>
              <w:jc w:val="center"/>
            </w:pPr>
            <w:r>
              <w:t>Calciumchlorid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/>
              <w:jc w:val="center"/>
            </w:pPr>
            <w:r>
              <w:t>H: 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P: 305+351+338</w:t>
            </w:r>
          </w:p>
        </w:tc>
      </w:tr>
      <w:tr w:rsidR="00027407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 w:line="276" w:lineRule="auto"/>
              <w:jc w:val="center"/>
            </w:pPr>
            <w:r>
              <w:t>Natriumchlorid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-</w:t>
            </w:r>
          </w:p>
        </w:tc>
      </w:tr>
      <w:tr w:rsidR="00027407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 w:line="276" w:lineRule="auto"/>
              <w:jc w:val="center"/>
            </w:pPr>
            <w: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Default="00027407" w:rsidP="00CB5D98">
            <w:pPr>
              <w:spacing w:after="0"/>
              <w:jc w:val="center"/>
            </w:pPr>
            <w:r>
              <w:t>-</w:t>
            </w:r>
          </w:p>
        </w:tc>
      </w:tr>
      <w:tr w:rsidR="00027407" w:rsidRPr="009C5E28" w:rsidTr="00CB5D98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027407" w:rsidRPr="00BD7AC8" w:rsidRDefault="00027407" w:rsidP="00CB5D98">
            <w:pPr>
              <w:spacing w:after="0" w:line="276" w:lineRule="auto"/>
              <w:jc w:val="center"/>
              <w:rPr>
                <w:bCs/>
              </w:rPr>
            </w:pPr>
            <w:r w:rsidRPr="00BD7AC8">
              <w:rPr>
                <w:bCs/>
              </w:rPr>
              <w:t>Ammoniumchlorid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027407" w:rsidRPr="00BD7AC8" w:rsidRDefault="00027407" w:rsidP="00CB5D98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BD7AC8">
              <w:rPr>
                <w:sz w:val="22"/>
                <w:szCs w:val="22"/>
              </w:rPr>
              <w:t>H: 302-319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027407" w:rsidRPr="00BD7AC8" w:rsidRDefault="00027407" w:rsidP="00CB5D98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P: 305+351+</w:t>
            </w:r>
            <w:r w:rsidRPr="00BD7AC8">
              <w:rPr>
                <w:sz w:val="22"/>
                <w:szCs w:val="22"/>
              </w:rPr>
              <w:t>338</w:t>
            </w:r>
          </w:p>
        </w:tc>
      </w:tr>
      <w:tr w:rsidR="00027407" w:rsidRPr="009C5E28" w:rsidTr="00CB5D98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7D92C5E1" wp14:editId="02BE358A">
                  <wp:extent cx="504190" cy="50419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8A79D6C" wp14:editId="214EE2CC">
                  <wp:extent cx="504190" cy="50419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8DFC3C8" wp14:editId="6B66BE06">
                  <wp:extent cx="504190" cy="50419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CB0BAA1" wp14:editId="52F49AA3">
                  <wp:extent cx="504190" cy="50419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0AB7FB0" wp14:editId="6E4E43BF">
                  <wp:extent cx="504190" cy="50419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77528A4" wp14:editId="34A4DFC4">
                  <wp:extent cx="504190" cy="504190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8E0B27C" wp14:editId="4F2C1417">
                  <wp:extent cx="504190" cy="50419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C963519" wp14:editId="2980030F">
                  <wp:extent cx="511175" cy="511175"/>
                  <wp:effectExtent l="0" t="0" r="3175" b="317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7407" w:rsidRPr="009C5E28" w:rsidRDefault="00027407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F2EF924" wp14:editId="4818DC87">
                  <wp:extent cx="504190" cy="50419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407" w:rsidRDefault="00027407" w:rsidP="00027407">
      <w:pPr>
        <w:tabs>
          <w:tab w:val="left" w:pos="1701"/>
          <w:tab w:val="left" w:pos="1985"/>
        </w:tabs>
        <w:ind w:left="1980" w:hanging="1980"/>
      </w:pPr>
    </w:p>
    <w:p w:rsidR="00027407" w:rsidRDefault="00027407" w:rsidP="00027407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4 Reagenzgläser, Spatel</w:t>
      </w:r>
    </w:p>
    <w:p w:rsidR="00027407" w:rsidRDefault="00027407" w:rsidP="00027407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 xml:space="preserve">Verdünnte Schwefelsäure </w:t>
      </w:r>
      <m:oMath>
        <m:r>
          <m:rPr>
            <m:sty m:val="p"/>
          </m:rPr>
          <w:rPr>
            <w:rFonts w:ascii="Cambria Math" w:hAnsi="Cambria Math"/>
          </w:rPr>
          <m:t>(c=1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>, destilliertes Wasser, Ammoniu</w:t>
      </w:r>
      <w:r>
        <w:t>m</w:t>
      </w:r>
      <w:r>
        <w:t xml:space="preserve">chlorid-Lösung </w:t>
      </w:r>
      <m:oMath>
        <m:r>
          <m:rPr>
            <m:sty m:val="p"/>
          </m:rPr>
          <w:rPr>
            <w:rFonts w:ascii="Cambria Math" w:hAnsi="Cambria Math"/>
          </w:rPr>
          <m:t>(c=0,1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, Bariumchlorid-Lösung </w:t>
      </w:r>
      <m:oMath>
        <m:r>
          <m:rPr>
            <m:sty m:val="p"/>
          </m:rPr>
          <w:rPr>
            <w:rFonts w:ascii="Cambria Math" w:hAnsi="Cambria Math"/>
          </w:rPr>
          <m:t>(c=0,1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, Calciumchlorid-Lösung </w:t>
      </w:r>
      <m:oMath>
        <m:r>
          <m:rPr>
            <m:sty m:val="p"/>
          </m:rPr>
          <w:rPr>
            <w:rFonts w:ascii="Cambria Math" w:hAnsi="Cambria Math"/>
          </w:rPr>
          <m:t>(c=0,1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, Natriumchlorid-Lösung </w:t>
      </w:r>
      <m:oMath>
        <m:r>
          <m:rPr>
            <m:sty m:val="p"/>
          </m:rPr>
          <w:rPr>
            <w:rFonts w:ascii="Cambria Math" w:hAnsi="Cambria Math"/>
          </w:rPr>
          <m:t>(c=0,1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mol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</w:p>
    <w:p w:rsidR="00027407" w:rsidRDefault="00027407" w:rsidP="00027407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In die Reagenzgläser werden jeweils 5 </w:t>
      </w:r>
      <w:proofErr w:type="spellStart"/>
      <w:r>
        <w:t>mL</w:t>
      </w:r>
      <w:proofErr w:type="spellEnd"/>
      <w:r>
        <w:t xml:space="preserve"> der Chlorid-Salzlösungen geg</w:t>
      </w:r>
      <w:r>
        <w:t>e</w:t>
      </w:r>
      <w:r>
        <w:t xml:space="preserve">ben. Anschließend werden die Lösungen mit je 1 </w:t>
      </w:r>
      <w:proofErr w:type="spellStart"/>
      <w:r>
        <w:t>mL</w:t>
      </w:r>
      <w:proofErr w:type="spellEnd"/>
      <w:r>
        <w:t xml:space="preserve"> verdünnter Schwefe</w:t>
      </w:r>
      <w:r>
        <w:t>l</w:t>
      </w:r>
      <w:r>
        <w:t>säure versetzt.</w:t>
      </w:r>
      <w:r w:rsidRPr="008729E8">
        <w:rPr>
          <w:noProof/>
          <w:lang w:eastAsia="zh-TW"/>
        </w:rPr>
        <w:t xml:space="preserve"> </w:t>
      </w:r>
    </w:p>
    <w:p w:rsidR="00027407" w:rsidRDefault="00027407" w:rsidP="00027407">
      <w:pPr>
        <w:tabs>
          <w:tab w:val="left" w:pos="1701"/>
          <w:tab w:val="left" w:pos="1985"/>
        </w:tabs>
        <w:spacing w:after="0"/>
        <w:ind w:left="1980" w:hanging="1980"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6593611A" wp14:editId="620111B6">
            <wp:extent cx="5048250" cy="1419225"/>
            <wp:effectExtent l="76200" t="76200" r="133350" b="142875"/>
            <wp:docPr id="5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16102" r="22598"/>
                    <a:stretch/>
                  </pic:blipFill>
                  <pic:spPr bwMode="auto">
                    <a:xfrm>
                      <a:off x="0" y="0"/>
                      <a:ext cx="5057381" cy="14217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07" w:rsidRPr="008729E8" w:rsidRDefault="00027407" w:rsidP="00027407">
      <w:pPr>
        <w:tabs>
          <w:tab w:val="left" w:pos="1701"/>
          <w:tab w:val="left" w:pos="1985"/>
        </w:tabs>
        <w:ind w:left="1980" w:hanging="1980"/>
        <w:jc w:val="center"/>
        <w:rPr>
          <w:sz w:val="20"/>
          <w:szCs w:val="20"/>
        </w:rPr>
      </w:pPr>
      <w:r>
        <w:rPr>
          <w:sz w:val="20"/>
          <w:szCs w:val="20"/>
        </w:rPr>
        <w:t>Abb. 7 – Die angesetzten Lösungen</w:t>
      </w:r>
    </w:p>
    <w:p w:rsidR="00027407" w:rsidRDefault="00027407" w:rsidP="00027407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In der Bariumchlorid-Lösung bildet sich ein weißer Niederschlag. Die a</w:t>
      </w:r>
      <w:r>
        <w:t>n</w:t>
      </w:r>
      <w:r>
        <w:t>deren Lösungen bleiben klar.</w:t>
      </w:r>
    </w:p>
    <w:p w:rsidR="00027407" w:rsidRDefault="00027407" w:rsidP="00027407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zh-TW"/>
        </w:rPr>
        <w:drawing>
          <wp:inline distT="0" distB="0" distL="0" distR="0" wp14:anchorId="75F440D3" wp14:editId="3667DFD4">
            <wp:extent cx="1638300" cy="2143125"/>
            <wp:effectExtent l="76200" t="76200" r="133350" b="14287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9" t="34739" r="37965"/>
                    <a:stretch/>
                  </pic:blipFill>
                  <pic:spPr bwMode="auto">
                    <a:xfrm>
                      <a:off x="0" y="0"/>
                      <a:ext cx="1639113" cy="2144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07" w:rsidRDefault="00027407" w:rsidP="00027407">
      <w:pPr>
        <w:pStyle w:val="Beschriftung"/>
        <w:jc w:val="center"/>
      </w:pPr>
      <w:r>
        <w:t xml:space="preserve">Abb. 8 - </w:t>
      </w:r>
      <w:r>
        <w:rPr>
          <w:noProof/>
        </w:rPr>
        <w:t xml:space="preserve"> Niederschlag in der Bariumchlorid-Lösung</w:t>
      </w:r>
    </w:p>
    <w:p w:rsidR="00027407" w:rsidRDefault="00027407" w:rsidP="00027407">
      <w:pPr>
        <w:tabs>
          <w:tab w:val="left" w:pos="1701"/>
          <w:tab w:val="left" w:pos="1985"/>
        </w:tabs>
        <w:spacing w:after="0"/>
        <w:ind w:left="1980" w:hanging="1980"/>
      </w:pPr>
      <w:r>
        <w:t>Deutung:</w:t>
      </w:r>
      <w:r>
        <w:tab/>
      </w:r>
      <w:r>
        <w:tab/>
        <w:t>Die Barium- und die Sulfat-Ionen bilden ein Salz, welches in Wasser schwer löslich ist. Dieses fällt aus:</w:t>
      </w:r>
    </w:p>
    <w:p w:rsidR="00027407" w:rsidRDefault="00027407" w:rsidP="00027407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Ba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BaSO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(s)</m:t>
            </m:r>
          </m:sub>
        </m:sSub>
      </m:oMath>
    </w:p>
    <w:p w:rsidR="00027407" w:rsidRDefault="00027407" w:rsidP="00027407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Die Salze der anderen Kationen mit den Sulfat-Ionen sind leichter löslich, weshalb diese nicht ausfallen. Der Barium-Nachweis ist der typische Su</w:t>
      </w:r>
      <w:r>
        <w:t>l</w:t>
      </w:r>
      <w:r>
        <w:t>fat-Ionennachweis.</w:t>
      </w:r>
    </w:p>
    <w:p w:rsidR="00027407" w:rsidRPr="00AC0EFB" w:rsidRDefault="00027407" w:rsidP="00027407">
      <w:pPr>
        <w:tabs>
          <w:tab w:val="left" w:pos="1701"/>
          <w:tab w:val="left" w:pos="1985"/>
        </w:tabs>
        <w:spacing w:after="0"/>
        <w:ind w:left="1980" w:hanging="1980"/>
      </w:pPr>
      <w:r>
        <w:t>Entsorgung:</w:t>
      </w:r>
      <w:r>
        <w:tab/>
      </w:r>
      <w:r>
        <w:tab/>
        <w:t>Die Bariumchlorid-Lösung wird in den Schwermetallbehälter gegeben. Die anderen Lösungen können im Abguss entsorgt werden.</w:t>
      </w:r>
    </w:p>
    <w:p w:rsidR="00027407" w:rsidRDefault="00027407" w:rsidP="00027407">
      <w:pPr>
        <w:tabs>
          <w:tab w:val="left" w:pos="1701"/>
          <w:tab w:val="left" w:pos="1985"/>
          <w:tab w:val="left" w:pos="5055"/>
        </w:tabs>
        <w:ind w:left="1980" w:hanging="1980"/>
        <w:jc w:val="left"/>
      </w:pPr>
      <w:r>
        <w:t>Literatur:</w:t>
      </w:r>
      <w:r>
        <w:tab/>
      </w:r>
      <w:r>
        <w:tab/>
        <w:t>W. Glöckner et al., Handbuch der experimentellen Chemie Sekundarb</w:t>
      </w:r>
      <w:r>
        <w:t>e</w:t>
      </w:r>
      <w:r>
        <w:t xml:space="preserve">reich II – Band 1: Wasserstoff, Stickstoff- und Sauerstoffgruppe, </w:t>
      </w:r>
      <w:proofErr w:type="spellStart"/>
      <w:r>
        <w:t>Aulis</w:t>
      </w:r>
      <w:proofErr w:type="spellEnd"/>
      <w:r>
        <w:t>, 2002, 303 &amp; 304.</w:t>
      </w:r>
    </w:p>
    <w:p w:rsidR="00027407" w:rsidRDefault="00027407" w:rsidP="00027407">
      <w:pPr>
        <w:tabs>
          <w:tab w:val="left" w:pos="1701"/>
          <w:tab w:val="left" w:pos="1985"/>
          <w:tab w:val="left" w:pos="5055"/>
        </w:tabs>
        <w:ind w:left="1980" w:hanging="1980"/>
        <w:jc w:val="left"/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0598C40B" wp14:editId="50A59E2E">
                <wp:extent cx="5760720" cy="1323975"/>
                <wp:effectExtent l="0" t="0" r="11430" b="28575"/>
                <wp:docPr id="5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323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7407" w:rsidRPr="00C33197" w:rsidRDefault="00027407" w:rsidP="00027407">
                            <w:pPr>
                              <w:rPr>
                                <w:color w:val="auto"/>
                              </w:rPr>
                            </w:pPr>
                            <w:r w:rsidRPr="00C33197">
                              <w:rPr>
                                <w:color w:val="auto"/>
                              </w:rPr>
                              <w:t>Nachweis Reaktionen</w:t>
                            </w:r>
                            <w:r>
                              <w:rPr>
                                <w:color w:val="auto"/>
                              </w:rPr>
                              <w:t xml:space="preserve"> sind seit der 7. Klasse im Kerncurriculum vorgesehen. Wenn es darum geht Säure-Base-Reaktionen und das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Donator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>-Akzeptor-Konzept zu erarbeiten, bietet es sich auch an einen Nachweis für Schwefelsäure zu kennen. Diese wird indirekt über die Sulfat-Ionen durchgeführt. Er bietet also auch die Möglichkeiten Ionen und Salze zu wiederholen. Insgesamt sollte dieses Experiment als Erarbeitungsexperiment durchgeführt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27" type="#_x0000_t202" style="width:453.6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027407" w:rsidRPr="00C33197" w:rsidRDefault="00027407" w:rsidP="00027407">
                      <w:pPr>
                        <w:rPr>
                          <w:color w:val="auto"/>
                        </w:rPr>
                      </w:pPr>
                      <w:r w:rsidRPr="00C33197">
                        <w:rPr>
                          <w:color w:val="auto"/>
                        </w:rPr>
                        <w:t>Nachweis Reaktionen</w:t>
                      </w:r>
                      <w:r>
                        <w:rPr>
                          <w:color w:val="auto"/>
                        </w:rPr>
                        <w:t xml:space="preserve"> sind seit der 7. Klasse im Kerncurriculum vorgesehen. Wenn es darum geht Säure-Base-Reaktionen und das </w:t>
                      </w:r>
                      <w:proofErr w:type="spellStart"/>
                      <w:r>
                        <w:rPr>
                          <w:color w:val="auto"/>
                        </w:rPr>
                        <w:t>Donator</w:t>
                      </w:r>
                      <w:proofErr w:type="spellEnd"/>
                      <w:r>
                        <w:rPr>
                          <w:color w:val="auto"/>
                        </w:rPr>
                        <w:t>-Akzeptor-Konzept zu erarbeiten, bietet es sich auch an einen Nachweis für Schwefelsäure zu kennen. Diese wird indirekt über die Sulfat-Ionen durchgeführt. Er bietet also auch die Möglichkeiten Ionen und Salze zu wiederholen. Insgesamt sollte dieses Experiment als Erarbeitungsexperiment durchgeführt werden.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6B2B60" w:rsidRDefault="00BE6DD9" w:rsidP="006B2B60">
      <w:pPr>
        <w:spacing w:line="276" w:lineRule="auto"/>
        <w:ind w:left="1985" w:hanging="1985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sectPr w:rsidR="00BE6DD9" w:rsidRPr="006B2B60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D46" w:rsidRDefault="00913D46" w:rsidP="009524CC">
      <w:pPr>
        <w:spacing w:after="0"/>
      </w:pPr>
      <w:r>
        <w:separator/>
      </w:r>
    </w:p>
  </w:endnote>
  <w:endnote w:type="continuationSeparator" w:id="0">
    <w:p w:rsidR="00913D46" w:rsidRDefault="00913D46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D46" w:rsidRDefault="00913D46" w:rsidP="009524CC">
      <w:pPr>
        <w:spacing w:after="0"/>
      </w:pPr>
      <w:r>
        <w:separator/>
      </w:r>
    </w:p>
  </w:footnote>
  <w:footnote w:type="continuationSeparator" w:id="0">
    <w:p w:rsidR="00913D46" w:rsidRDefault="00913D46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027407" w:rsidRPr="00027407">
            <w:rPr>
              <w:b/>
              <w:bCs/>
              <w:noProof/>
              <w:sz w:val="20"/>
              <w:szCs w:val="20"/>
            </w:rPr>
            <w:t>V 5 –Der Sulfat-Nachweis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027407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27407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2B60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3D46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102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0AE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22A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8F562-8FF6-4824-B51E-37EF52F3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Niklas Heier</cp:lastModifiedBy>
  <cp:revision>2</cp:revision>
  <cp:lastPrinted>2012-06-21T19:47:00Z</cp:lastPrinted>
  <dcterms:created xsi:type="dcterms:W3CDTF">2013-08-14T20:12:00Z</dcterms:created>
  <dcterms:modified xsi:type="dcterms:W3CDTF">2013-08-14T20:12:00Z</dcterms:modified>
</cp:coreProperties>
</file>