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041" w:rsidRDefault="002D3041" w:rsidP="002D3041">
      <w:pPr>
        <w:pStyle w:val="berschrift1"/>
        <w:numPr>
          <w:ilvl w:val="0"/>
          <w:numId w:val="0"/>
        </w:numPr>
        <w:ind w:left="431"/>
      </w:pPr>
      <w:bookmarkStart w:id="0" w:name="_Toc364238656"/>
      <w:r>
        <w:rPr>
          <w:noProof/>
          <w:lang w:eastAsia="zh-TW"/>
        </w:rPr>
        <mc:AlternateContent>
          <mc:Choice Requires="wps">
            <w:drawing>
              <wp:anchor distT="0" distB="0" distL="114300" distR="114300" simplePos="0" relativeHeight="251659264" behindDoc="0" locked="0" layoutInCell="1" allowOverlap="1" wp14:anchorId="21E0EAC5" wp14:editId="4C9B40F6">
                <wp:simplePos x="0" y="0"/>
                <wp:positionH relativeFrom="column">
                  <wp:posOffset>3810</wp:posOffset>
                </wp:positionH>
                <wp:positionV relativeFrom="paragraph">
                  <wp:posOffset>911860</wp:posOffset>
                </wp:positionV>
                <wp:extent cx="5873115" cy="1743075"/>
                <wp:effectExtent l="0" t="0" r="13335" b="28575"/>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430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3041" w:rsidRPr="00AC0EFB" w:rsidRDefault="002D3041" w:rsidP="002D3041">
                            <w:pPr>
                              <w:rPr>
                                <w:color w:val="auto"/>
                              </w:rPr>
                            </w:pPr>
                            <w:r w:rsidRPr="00AC0EFB">
                              <w:rPr>
                                <w:color w:val="auto"/>
                              </w:rPr>
                              <w:t>Schwefelsäure und andere Säuren reagieren mit unedlen Metallen auf eine bestimmte Art und Weise. Um diese charakteristische Reaktion zu erarbeiten, werden Eisen- und Magnesiumpu</w:t>
                            </w:r>
                            <w:r w:rsidRPr="00AC0EFB">
                              <w:rPr>
                                <w:color w:val="auto"/>
                              </w:rPr>
                              <w:t>l</w:t>
                            </w:r>
                            <w:r w:rsidRPr="00AC0EFB">
                              <w:rPr>
                                <w:color w:val="auto"/>
                              </w:rPr>
                              <w:t>ver, Zinkgranalien und Kupferspäne mit verdünnter Schwefelsäure versetzt und anschließend die Reaktionsprodukte genauer untersucht. Als Vorwissen werden Ionen- und Salzbildung v</w:t>
                            </w:r>
                            <w:r w:rsidRPr="00AC0EFB">
                              <w:rPr>
                                <w:color w:val="auto"/>
                              </w:rPr>
                              <w:t>o</w:t>
                            </w:r>
                            <w:r w:rsidRPr="00AC0EFB">
                              <w:rPr>
                                <w:color w:val="auto"/>
                              </w:rPr>
                              <w:t>rausgesetzt. Eine weitere Voraussetzung ist die Kenntnis über den Wasserstoffnachweis per Knallgasprobe. Insgesamt sollte vorausgesetzt werden, dass die SuS verantwortungsvoll und sicher experimentieren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9" o:spid="_x0000_s1026" type="#_x0000_t202" style="position:absolute;left:0;text-align:left;margin-left:.3pt;margin-top:71.8pt;width:462.4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7gIAAC4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" fillcolor="white [3201]" strokecolor="#4bacc6 [3208]" strokeweight="1pt">
                <v:stroke dashstyle="dash"/>
                <v:shadow color="#868686"/>
                <v:textbox>
                  <w:txbxContent>
                    <w:p w:rsidR="002D3041" w:rsidRPr="00AC0EFB" w:rsidRDefault="002D3041" w:rsidP="002D3041">
                      <w:pPr>
                        <w:rPr>
                          <w:color w:val="auto"/>
                        </w:rPr>
                      </w:pPr>
                      <w:r w:rsidRPr="00AC0EFB">
                        <w:rPr>
                          <w:color w:val="auto"/>
                        </w:rPr>
                        <w:t>Schwefelsäure und andere Säuren reagieren mit unedlen Metallen auf eine bestimmte Art und Weise. Um diese charakteristische Reaktion zu erarbeiten, werden Eisen- und Magnesiumpu</w:t>
                      </w:r>
                      <w:r w:rsidRPr="00AC0EFB">
                        <w:rPr>
                          <w:color w:val="auto"/>
                        </w:rPr>
                        <w:t>l</w:t>
                      </w:r>
                      <w:r w:rsidRPr="00AC0EFB">
                        <w:rPr>
                          <w:color w:val="auto"/>
                        </w:rPr>
                        <w:t>ver, Zinkgranalien und Kupferspäne mit verdünnter Schwefelsäure versetzt und anschließend die Reaktionsprodukte genauer untersucht. Als Vorwissen werden Ionen- und Salzbildung v</w:t>
                      </w:r>
                      <w:r w:rsidRPr="00AC0EFB">
                        <w:rPr>
                          <w:color w:val="auto"/>
                        </w:rPr>
                        <w:t>o</w:t>
                      </w:r>
                      <w:r w:rsidRPr="00AC0EFB">
                        <w:rPr>
                          <w:color w:val="auto"/>
                        </w:rPr>
                        <w:t>rausgesetzt. Eine weitere Voraussetzung ist die Kenntnis über den Wasserstoffnachweis per Knallgasprobe. Insgesamt sollte vorausgesetzt werden, dass die SuS verantwortungsvoll und sicher experimentieren können.</w:t>
                      </w:r>
                    </w:p>
                  </w:txbxContent>
                </v:textbox>
                <w10:wrap type="square"/>
              </v:shape>
            </w:pict>
          </mc:Fallback>
        </mc:AlternateContent>
      </w:r>
      <w:r>
        <w:t>V 6 –Reaktionen von Schwefelsäure mit verschiedenen Meta</w:t>
      </w:r>
      <w:r>
        <w:t>l</w:t>
      </w:r>
      <w:r>
        <w:t>len</w:t>
      </w:r>
      <w:bookmarkEnd w:id="0"/>
    </w:p>
    <w:p w:rsidR="002D3041" w:rsidRDefault="002D3041" w:rsidP="002D304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D3041" w:rsidRPr="009C5E28" w:rsidTr="00CB5D98">
        <w:tc>
          <w:tcPr>
            <w:tcW w:w="9322" w:type="dxa"/>
            <w:gridSpan w:val="9"/>
            <w:shd w:val="clear" w:color="auto" w:fill="4F81BD"/>
            <w:vAlign w:val="center"/>
          </w:tcPr>
          <w:p w:rsidR="002D3041" w:rsidRPr="009C5E28" w:rsidRDefault="002D3041" w:rsidP="00CB5D98">
            <w:pPr>
              <w:spacing w:after="0"/>
              <w:jc w:val="center"/>
              <w:rPr>
                <w:b/>
                <w:bCs/>
              </w:rPr>
            </w:pPr>
            <w:r w:rsidRPr="009C5E28">
              <w:rPr>
                <w:b/>
                <w:bCs/>
              </w:rPr>
              <w:t>Gefahrenstoffe</w:t>
            </w:r>
          </w:p>
        </w:tc>
      </w:tr>
      <w:tr w:rsidR="002D3041"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D3041" w:rsidRPr="00BD7AC8" w:rsidRDefault="002D3041" w:rsidP="00CB5D98">
            <w:pPr>
              <w:spacing w:after="0" w:line="276" w:lineRule="auto"/>
              <w:jc w:val="center"/>
              <w:rPr>
                <w:b/>
                <w:bCs/>
              </w:rPr>
            </w:pPr>
            <w:r w:rsidRPr="00BD7AC8">
              <w:t>Schwefelsäure</w:t>
            </w:r>
          </w:p>
        </w:tc>
        <w:tc>
          <w:tcPr>
            <w:tcW w:w="3177" w:type="dxa"/>
            <w:gridSpan w:val="3"/>
            <w:tcBorders>
              <w:top w:val="single" w:sz="8" w:space="0" w:color="4F81BD"/>
              <w:bottom w:val="single" w:sz="8" w:space="0" w:color="4F81BD"/>
            </w:tcBorders>
            <w:shd w:val="clear" w:color="auto" w:fill="auto"/>
            <w:vAlign w:val="center"/>
          </w:tcPr>
          <w:p w:rsidR="002D3041" w:rsidRPr="00BD7AC8" w:rsidRDefault="002D3041" w:rsidP="00CB5D98">
            <w:pPr>
              <w:spacing w:after="0"/>
              <w:jc w:val="center"/>
            </w:pPr>
            <w:r w:rsidRPr="00BD7AC8">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D3041" w:rsidRPr="009C5E28" w:rsidRDefault="002D3041" w:rsidP="00CB5D98">
            <w:pPr>
              <w:spacing w:after="0"/>
              <w:jc w:val="center"/>
            </w:pPr>
            <w:r>
              <w:t>P: 280-301+330+331-309-310-305+351+338</w:t>
            </w:r>
          </w:p>
        </w:tc>
      </w:tr>
      <w:tr w:rsidR="002D3041"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D3041" w:rsidRPr="00BD7AC8" w:rsidRDefault="002D3041" w:rsidP="00CB5D98">
            <w:pPr>
              <w:spacing w:after="0" w:line="276" w:lineRule="auto"/>
              <w:jc w:val="center"/>
            </w:pPr>
            <w:r>
              <w:t>Zink</w:t>
            </w:r>
          </w:p>
        </w:tc>
        <w:tc>
          <w:tcPr>
            <w:tcW w:w="3177" w:type="dxa"/>
            <w:gridSpan w:val="3"/>
            <w:tcBorders>
              <w:top w:val="single" w:sz="8" w:space="0" w:color="4F81BD"/>
              <w:bottom w:val="single" w:sz="8" w:space="0" w:color="4F81BD"/>
            </w:tcBorders>
            <w:shd w:val="clear" w:color="auto" w:fill="auto"/>
            <w:vAlign w:val="center"/>
          </w:tcPr>
          <w:p w:rsidR="002D3041" w:rsidRPr="00BD7AC8" w:rsidRDefault="002D3041" w:rsidP="00CB5D98">
            <w:pPr>
              <w:spacing w:after="0"/>
              <w:jc w:val="center"/>
            </w:pPr>
            <w:r w:rsidRPr="00BD7AC8">
              <w:t xml:space="preserve">H: </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D3041" w:rsidRDefault="002D3041" w:rsidP="00CB5D98">
            <w:pPr>
              <w:spacing w:after="0"/>
              <w:jc w:val="center"/>
            </w:pPr>
            <w:r>
              <w:t>P: 273</w:t>
            </w:r>
          </w:p>
        </w:tc>
      </w:tr>
      <w:tr w:rsidR="002D3041"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D3041" w:rsidRPr="00BD7AC8" w:rsidRDefault="002D3041" w:rsidP="00CB5D98">
            <w:pPr>
              <w:spacing w:after="0" w:line="276" w:lineRule="auto"/>
              <w:jc w:val="center"/>
            </w:pPr>
            <w:r>
              <w:t>Magnesium</w:t>
            </w:r>
          </w:p>
        </w:tc>
        <w:tc>
          <w:tcPr>
            <w:tcW w:w="3177" w:type="dxa"/>
            <w:gridSpan w:val="3"/>
            <w:tcBorders>
              <w:top w:val="single" w:sz="8" w:space="0" w:color="4F81BD"/>
              <w:bottom w:val="single" w:sz="8" w:space="0" w:color="4F81BD"/>
            </w:tcBorders>
            <w:shd w:val="clear" w:color="auto" w:fill="auto"/>
            <w:vAlign w:val="center"/>
          </w:tcPr>
          <w:p w:rsidR="002D3041" w:rsidRPr="00BD7AC8" w:rsidRDefault="002D3041" w:rsidP="00CB5D98">
            <w:pPr>
              <w:spacing w:after="0"/>
              <w:jc w:val="center"/>
            </w:pPr>
            <w:r>
              <w:t>H: 260-250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D3041" w:rsidRDefault="002D3041" w:rsidP="00CB5D98">
            <w:pPr>
              <w:spacing w:after="0"/>
              <w:jc w:val="center"/>
            </w:pPr>
            <w:r>
              <w:t>P: 210-370+378-402+404</w:t>
            </w:r>
          </w:p>
        </w:tc>
      </w:tr>
      <w:tr w:rsidR="002D3041"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D3041" w:rsidRDefault="002D3041" w:rsidP="00CB5D98">
            <w:pPr>
              <w:spacing w:after="0" w:line="276" w:lineRule="auto"/>
              <w:jc w:val="center"/>
            </w:pPr>
            <w:r>
              <w:t>Eisen</w:t>
            </w:r>
          </w:p>
        </w:tc>
        <w:tc>
          <w:tcPr>
            <w:tcW w:w="3177" w:type="dxa"/>
            <w:gridSpan w:val="3"/>
            <w:tcBorders>
              <w:top w:val="single" w:sz="8" w:space="0" w:color="4F81BD"/>
              <w:bottom w:val="single" w:sz="8" w:space="0" w:color="4F81BD"/>
            </w:tcBorders>
            <w:shd w:val="clear" w:color="auto" w:fill="auto"/>
            <w:vAlign w:val="center"/>
          </w:tcPr>
          <w:p w:rsidR="002D3041" w:rsidRDefault="002D3041" w:rsidP="00CB5D98">
            <w:pPr>
              <w:spacing w:after="0"/>
              <w:jc w:val="center"/>
            </w:pPr>
            <w: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D3041" w:rsidRDefault="002D3041" w:rsidP="00CB5D98">
            <w:pPr>
              <w:spacing w:after="0"/>
              <w:jc w:val="center"/>
            </w:pPr>
            <w:r>
              <w:t>P: 370+P378</w:t>
            </w:r>
          </w:p>
        </w:tc>
      </w:tr>
      <w:tr w:rsidR="002D3041"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D3041" w:rsidRDefault="002D3041" w:rsidP="00CB5D98">
            <w:pPr>
              <w:spacing w:after="0" w:line="276" w:lineRule="auto"/>
              <w:jc w:val="center"/>
            </w:pPr>
            <w:r w:rsidRPr="00BD7AC8">
              <w:t>Bariumchlorid</w:t>
            </w:r>
          </w:p>
        </w:tc>
        <w:tc>
          <w:tcPr>
            <w:tcW w:w="3177" w:type="dxa"/>
            <w:gridSpan w:val="3"/>
            <w:tcBorders>
              <w:top w:val="single" w:sz="8" w:space="0" w:color="4F81BD"/>
              <w:bottom w:val="single" w:sz="8" w:space="0" w:color="4F81BD"/>
            </w:tcBorders>
            <w:shd w:val="clear" w:color="auto" w:fill="auto"/>
            <w:vAlign w:val="center"/>
          </w:tcPr>
          <w:p w:rsidR="002D3041" w:rsidRDefault="002D3041" w:rsidP="00CB5D98">
            <w:pPr>
              <w:spacing w:after="0"/>
              <w:jc w:val="center"/>
            </w:pPr>
            <w:r w:rsidRPr="00BD7AC8">
              <w:t>H: 332-301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D3041" w:rsidRDefault="002D3041" w:rsidP="00CB5D98">
            <w:pPr>
              <w:spacing w:after="0"/>
              <w:jc w:val="center"/>
            </w:pPr>
            <w:r>
              <w:t>P: 301+310</w:t>
            </w:r>
          </w:p>
        </w:tc>
      </w:tr>
      <w:tr w:rsidR="002D3041" w:rsidRPr="009C5E28" w:rsidTr="00CB5D98">
        <w:trPr>
          <w:trHeight w:val="434"/>
        </w:trPr>
        <w:tc>
          <w:tcPr>
            <w:tcW w:w="3027" w:type="dxa"/>
            <w:gridSpan w:val="3"/>
            <w:shd w:val="clear" w:color="auto" w:fill="auto"/>
            <w:vAlign w:val="center"/>
          </w:tcPr>
          <w:p w:rsidR="002D3041" w:rsidRPr="00BD7AC8" w:rsidRDefault="002D3041" w:rsidP="00CB5D98">
            <w:pPr>
              <w:spacing w:after="0" w:line="276" w:lineRule="auto"/>
              <w:jc w:val="center"/>
              <w:rPr>
                <w:bCs/>
              </w:rPr>
            </w:pPr>
            <w:r>
              <w:rPr>
                <w:bCs/>
              </w:rPr>
              <w:t>Kupfer</w:t>
            </w:r>
          </w:p>
        </w:tc>
        <w:tc>
          <w:tcPr>
            <w:tcW w:w="3177" w:type="dxa"/>
            <w:gridSpan w:val="3"/>
            <w:shd w:val="clear" w:color="auto" w:fill="auto"/>
            <w:vAlign w:val="center"/>
          </w:tcPr>
          <w:p w:rsidR="002D3041" w:rsidRPr="001A7318" w:rsidRDefault="002D3041" w:rsidP="00CB5D98">
            <w:pPr>
              <w:pStyle w:val="Beschriftung"/>
              <w:spacing w:after="0"/>
              <w:jc w:val="center"/>
              <w:rPr>
                <w:sz w:val="22"/>
                <w:szCs w:val="22"/>
              </w:rPr>
            </w:pPr>
            <w:r w:rsidRPr="001A7318">
              <w:rPr>
                <w:sz w:val="22"/>
                <w:szCs w:val="22"/>
              </w:rPr>
              <w:t>H: 228-410</w:t>
            </w:r>
          </w:p>
        </w:tc>
        <w:tc>
          <w:tcPr>
            <w:tcW w:w="3118" w:type="dxa"/>
            <w:gridSpan w:val="3"/>
            <w:shd w:val="clear" w:color="auto" w:fill="auto"/>
            <w:vAlign w:val="center"/>
          </w:tcPr>
          <w:p w:rsidR="002D3041" w:rsidRPr="001A7318" w:rsidRDefault="002D3041" w:rsidP="00CB5D98">
            <w:pPr>
              <w:pStyle w:val="Beschriftung"/>
              <w:spacing w:after="0"/>
              <w:jc w:val="center"/>
              <w:rPr>
                <w:sz w:val="22"/>
                <w:szCs w:val="22"/>
              </w:rPr>
            </w:pPr>
            <w:r w:rsidRPr="001A7318">
              <w:rPr>
                <w:sz w:val="22"/>
                <w:szCs w:val="22"/>
              </w:rPr>
              <w:t>P: 210-273-501</w:t>
            </w:r>
          </w:p>
        </w:tc>
      </w:tr>
      <w:tr w:rsidR="002D3041" w:rsidRPr="009C5E28" w:rsidTr="00CB5D98">
        <w:tc>
          <w:tcPr>
            <w:tcW w:w="1009" w:type="dxa"/>
            <w:tcBorders>
              <w:top w:val="single" w:sz="8" w:space="0" w:color="4F81BD"/>
              <w:left w:val="single" w:sz="8" w:space="0" w:color="4F81BD"/>
              <w:bottom w:val="single" w:sz="8" w:space="0" w:color="4F81BD"/>
            </w:tcBorders>
            <w:shd w:val="clear" w:color="auto" w:fill="auto"/>
            <w:vAlign w:val="center"/>
          </w:tcPr>
          <w:p w:rsidR="002D3041" w:rsidRPr="009C5E28" w:rsidRDefault="002D3041" w:rsidP="00CB5D98">
            <w:pPr>
              <w:spacing w:after="0"/>
              <w:jc w:val="center"/>
              <w:rPr>
                <w:b/>
                <w:bCs/>
              </w:rPr>
            </w:pPr>
            <w:r>
              <w:rPr>
                <w:b/>
                <w:noProof/>
                <w:lang w:eastAsia="zh-TW"/>
              </w:rPr>
              <w:drawing>
                <wp:inline distT="0" distB="0" distL="0" distR="0" wp14:anchorId="626EBE92" wp14:editId="4D91E238">
                  <wp:extent cx="504190" cy="50419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55F02BE1" wp14:editId="79D0325F">
                  <wp:extent cx="504190" cy="50419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272DE29B" wp14:editId="265B131A">
                  <wp:extent cx="504190" cy="50419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6F8C842E" wp14:editId="7CB7B924">
                  <wp:extent cx="504190" cy="50419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414C1CE8" wp14:editId="1FFDBBF6">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5075F4E1" wp14:editId="58402FE2">
                  <wp:extent cx="504190" cy="504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28517263" wp14:editId="579E1814">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38626222" wp14:editId="315B77F6">
                  <wp:extent cx="511175" cy="511175"/>
                  <wp:effectExtent l="0" t="0" r="3175" b="317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D3041" w:rsidRPr="009C5E28" w:rsidRDefault="002D3041" w:rsidP="00CB5D98">
            <w:pPr>
              <w:spacing w:after="0"/>
              <w:jc w:val="center"/>
            </w:pPr>
            <w:r>
              <w:rPr>
                <w:noProof/>
                <w:lang w:eastAsia="zh-TW"/>
              </w:rPr>
              <w:drawing>
                <wp:inline distT="0" distB="0" distL="0" distR="0" wp14:anchorId="6C811DDD" wp14:editId="3063A9D0">
                  <wp:extent cx="504190" cy="50419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2D3041" w:rsidRDefault="002D3041" w:rsidP="002D3041">
      <w:pPr>
        <w:tabs>
          <w:tab w:val="left" w:pos="1701"/>
          <w:tab w:val="left" w:pos="1985"/>
        </w:tabs>
        <w:ind w:left="1980" w:hanging="1980"/>
      </w:pPr>
    </w:p>
    <w:p w:rsidR="002D3041" w:rsidRDefault="002D3041" w:rsidP="002D3041">
      <w:pPr>
        <w:tabs>
          <w:tab w:val="left" w:pos="1701"/>
          <w:tab w:val="left" w:pos="1985"/>
        </w:tabs>
        <w:ind w:left="1980" w:hanging="1980"/>
      </w:pPr>
      <w:r>
        <w:t xml:space="preserve">Materialien: </w:t>
      </w:r>
      <w:r>
        <w:tab/>
      </w:r>
      <w:r>
        <w:tab/>
        <w:t>9 Reagenzgläser, Spatel, Bunsenbrenner, Pasteurpipette, Spritzflasche, R</w:t>
      </w:r>
      <w:r>
        <w:t>e</w:t>
      </w:r>
      <w:r>
        <w:t>agenzglasständer</w:t>
      </w:r>
    </w:p>
    <w:p w:rsidR="002D3041" w:rsidRDefault="002D3041" w:rsidP="002D3041">
      <w:pPr>
        <w:tabs>
          <w:tab w:val="left" w:pos="1701"/>
          <w:tab w:val="left" w:pos="1985"/>
        </w:tabs>
        <w:ind w:left="1980" w:hanging="1980"/>
      </w:pPr>
      <w:r>
        <w:t>Chemikalien:</w:t>
      </w:r>
      <w:r>
        <w:tab/>
      </w:r>
      <w:r>
        <w:tab/>
        <w:t xml:space="preserve">Verdünnte Schwefelsäure </w:t>
      </w:r>
      <m:oMath>
        <m:r>
          <m:rPr>
            <m:sty m:val="p"/>
          </m:rPr>
          <w:rPr>
            <w:rFonts w:ascii="Cambria Math" w:hAnsi="Cambria Math"/>
          </w:rPr>
          <m:t>(c=2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t>, Aqua Dest., Magnesiumpulver, Eisenpulver, Zinkgranalien, Kupferspäne</w:t>
      </w:r>
    </w:p>
    <w:p w:rsidR="002D3041" w:rsidRDefault="002D3041" w:rsidP="002D3041">
      <w:pPr>
        <w:tabs>
          <w:tab w:val="left" w:pos="1701"/>
          <w:tab w:val="left" w:pos="1985"/>
        </w:tabs>
        <w:spacing w:after="0"/>
        <w:ind w:left="1980" w:hanging="1980"/>
        <w:jc w:val="center"/>
      </w:pPr>
    </w:p>
    <w:p w:rsidR="002D3041" w:rsidRDefault="002D3041" w:rsidP="002D3041">
      <w:pPr>
        <w:tabs>
          <w:tab w:val="left" w:pos="1701"/>
          <w:tab w:val="left" w:pos="1985"/>
        </w:tabs>
        <w:ind w:left="1980" w:hanging="1980"/>
        <w:rPr>
          <w:noProof/>
          <w:lang w:eastAsia="zh-TW"/>
        </w:rPr>
      </w:pPr>
      <w:r>
        <w:t xml:space="preserve">Durchführung: </w:t>
      </w:r>
      <w:r>
        <w:tab/>
      </w:r>
      <w:r>
        <w:tab/>
      </w:r>
      <w:r>
        <w:tab/>
        <w:t>In 4 Reagenzgläser werden jeweils eine Spatelspitze Kupferspäne, Magn</w:t>
      </w:r>
      <w:r>
        <w:t>e</w:t>
      </w:r>
      <w:r>
        <w:t>siumpulver, Eisenpulver und 1-2 Zinkgranalien gegeben. Anschließend wird ungefähr daumenbreit verdünnte Schwefelsäure dazugegeben (Ac</w:t>
      </w:r>
      <w:r>
        <w:t>h</w:t>
      </w:r>
      <w:r>
        <w:lastRenderedPageBreak/>
        <w:t xml:space="preserve">tung beim Magnesiumpulver </w:t>
      </w:r>
      <w:r w:rsidRPr="001A7318">
        <w:rPr>
          <w:u w:val="single"/>
        </w:rPr>
        <w:t>langsam</w:t>
      </w:r>
      <w:r>
        <w:t xml:space="preserve"> und in Portionen!!). Das Gas wird aufgefangen und das Reagenzglas</w:t>
      </w:r>
      <w:r w:rsidRPr="008729E8">
        <w:rPr>
          <w:noProof/>
          <w:lang w:eastAsia="zh-TW"/>
        </w:rPr>
        <w:t xml:space="preserve"> </w:t>
      </w:r>
      <w:r>
        <w:rPr>
          <w:noProof/>
          <w:lang w:eastAsia="zh-TW"/>
        </w:rPr>
        <w:t>mit der Öffnung über einen Bunsenbrenner gehalten (Achtung!). Anschließend werden aus jeder Lösung 5-6 Tropfen in ein Reagenzglas gegeben und eingeengt bis das Wasser verdampft ist (Vorsicht Siedeverzug!!). In die Reagenzgläser wird anschließend etwas destilliertes Wasser gegeben und Bariumchlorid-Lösung dazugegeben.</w:t>
      </w:r>
    </w:p>
    <w:p w:rsidR="002D3041" w:rsidRDefault="002D3041" w:rsidP="002D3041">
      <w:pPr>
        <w:tabs>
          <w:tab w:val="left" w:pos="1701"/>
          <w:tab w:val="left" w:pos="1985"/>
        </w:tabs>
        <w:ind w:left="1980" w:hanging="1980"/>
      </w:pPr>
      <w:r>
        <w:t>Beobachtung:</w:t>
      </w:r>
      <w:r>
        <w:tab/>
      </w:r>
      <w:r>
        <w:tab/>
      </w:r>
      <w:r>
        <w:tab/>
        <w:t xml:space="preserve">Bei Eisen, Zink und Magnesium ist eine Gasentwicklung zu beobachten. Bei Magnesium am stärksten, dann Eisen und bei Zink am wenigsten stark. Im Reagenzglas mit den Kupferspänen passiert nichts. </w:t>
      </w:r>
    </w:p>
    <w:p w:rsidR="002D3041" w:rsidRDefault="002D3041" w:rsidP="002D3041">
      <w:pPr>
        <w:tabs>
          <w:tab w:val="left" w:pos="1701"/>
          <w:tab w:val="left" w:pos="1985"/>
        </w:tabs>
        <w:ind w:left="1980" w:hanging="1980"/>
        <w:jc w:val="center"/>
      </w:pPr>
      <w:r>
        <w:rPr>
          <w:noProof/>
          <w:lang w:eastAsia="zh-TW"/>
        </w:rPr>
        <w:drawing>
          <wp:inline distT="0" distB="0" distL="0" distR="0" wp14:anchorId="2125B3A2" wp14:editId="3E691555">
            <wp:extent cx="4705350" cy="202882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3.JPG"/>
                    <pic:cNvPicPr/>
                  </pic:nvPicPr>
                  <pic:blipFill rotWithShape="1">
                    <a:blip r:embed="rId18">
                      <a:extLst>
                        <a:ext uri="{28A0092B-C50C-407E-A947-70E740481C1C}">
                          <a14:useLocalDpi xmlns:a14="http://schemas.microsoft.com/office/drawing/2010/main" val="0"/>
                        </a:ext>
                      </a:extLst>
                    </a:blip>
                    <a:srcRect l="9437" r="8775" b="18611"/>
                    <a:stretch/>
                  </pic:blipFill>
                  <pic:spPr bwMode="auto">
                    <a:xfrm>
                      <a:off x="0" y="0"/>
                      <a:ext cx="4711583" cy="2031513"/>
                    </a:xfrm>
                    <a:prstGeom prst="rect">
                      <a:avLst/>
                    </a:prstGeom>
                    <a:ln>
                      <a:noFill/>
                    </a:ln>
                    <a:extLst>
                      <a:ext uri="{53640926-AAD7-44D8-BBD7-CCE9431645EC}">
                        <a14:shadowObscured xmlns:a14="http://schemas.microsoft.com/office/drawing/2010/main"/>
                      </a:ext>
                    </a:extLst>
                  </pic:spPr>
                </pic:pic>
              </a:graphicData>
            </a:graphic>
          </wp:inline>
        </w:drawing>
      </w:r>
    </w:p>
    <w:p w:rsidR="002D3041" w:rsidRPr="009856B5" w:rsidRDefault="002D3041" w:rsidP="002D3041">
      <w:pPr>
        <w:tabs>
          <w:tab w:val="left" w:pos="1701"/>
          <w:tab w:val="left" w:pos="1985"/>
        </w:tabs>
        <w:ind w:left="1980" w:hanging="1980"/>
        <w:jc w:val="center"/>
        <w:rPr>
          <w:sz w:val="20"/>
          <w:szCs w:val="20"/>
        </w:rPr>
      </w:pPr>
      <w:r>
        <w:rPr>
          <w:sz w:val="20"/>
          <w:szCs w:val="20"/>
        </w:rPr>
        <w:t>Abb. 9 – Reaktion der Schwefelsäure mit Kupfer, Zink, Eisen und Magnesium</w:t>
      </w:r>
    </w:p>
    <w:p w:rsidR="002D3041" w:rsidRDefault="002D3041" w:rsidP="002D3041">
      <w:pPr>
        <w:tabs>
          <w:tab w:val="left" w:pos="1701"/>
          <w:tab w:val="left" w:pos="1985"/>
        </w:tabs>
        <w:ind w:left="1980" w:hanging="1980"/>
      </w:pPr>
      <w:r>
        <w:tab/>
      </w:r>
      <w:r>
        <w:tab/>
        <w:t>Beim Einengen der Lösungen von Eisen, Magnesium und Zink bildet sich ein weißer Feststoff am Boden des Reagenzglases. Bei der Lösung aus dem Reagenzglas mit dem Kupfer bleibt dies aus.</w:t>
      </w:r>
    </w:p>
    <w:p w:rsidR="002D3041" w:rsidRDefault="002D3041" w:rsidP="002D3041">
      <w:pPr>
        <w:keepNext/>
        <w:tabs>
          <w:tab w:val="left" w:pos="1701"/>
          <w:tab w:val="left" w:pos="1985"/>
        </w:tabs>
        <w:ind w:left="1980" w:hanging="1980"/>
        <w:jc w:val="center"/>
      </w:pPr>
      <w:r>
        <w:rPr>
          <w:noProof/>
          <w:lang w:eastAsia="zh-TW"/>
        </w:rPr>
        <w:drawing>
          <wp:inline distT="0" distB="0" distL="0" distR="0" wp14:anchorId="71D7CFCC" wp14:editId="7F4BB34A">
            <wp:extent cx="895350" cy="1943100"/>
            <wp:effectExtent l="76200" t="76200" r="133350" b="13335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1.JPG"/>
                    <pic:cNvPicPr/>
                  </pic:nvPicPr>
                  <pic:blipFill rotWithShape="1">
                    <a:blip r:embed="rId19">
                      <a:extLst>
                        <a:ext uri="{28A0092B-C50C-407E-A947-70E740481C1C}">
                          <a14:useLocalDpi xmlns:a14="http://schemas.microsoft.com/office/drawing/2010/main" val="0"/>
                        </a:ext>
                      </a:extLst>
                    </a:blip>
                    <a:srcRect l="19556" r="24741" b="9333"/>
                    <a:stretch/>
                  </pic:blipFill>
                  <pic:spPr bwMode="auto">
                    <a:xfrm>
                      <a:off x="0" y="0"/>
                      <a:ext cx="895795" cy="19440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3041" w:rsidRDefault="002D3041" w:rsidP="002D3041">
      <w:pPr>
        <w:pStyle w:val="Beschriftung"/>
        <w:jc w:val="center"/>
        <w:rPr>
          <w:noProof/>
        </w:rPr>
      </w:pPr>
      <w:r>
        <w:t xml:space="preserve">Abb. 10 - </w:t>
      </w:r>
      <w:r>
        <w:rPr>
          <w:noProof/>
        </w:rPr>
        <w:t xml:space="preserve"> Weißer Feststoff nach dem Eindampfen</w:t>
      </w:r>
    </w:p>
    <w:p w:rsidR="002D3041" w:rsidRPr="00FA1FF2" w:rsidRDefault="002D3041" w:rsidP="002D3041">
      <w:pPr>
        <w:ind w:left="1985"/>
      </w:pPr>
      <w:r>
        <w:lastRenderedPageBreak/>
        <w:t>Löst man diesen Feststoff nun in Wasser entsteht eine farblose Lösung. Bei Zugabe von Bariumchlorid (Achtung!) bildet sich ein weißer Niederschlag in den Reagenzgläsern, in denen ein weißer Feststoff gelöst wurde.</w:t>
      </w:r>
    </w:p>
    <w:p w:rsidR="002D3041" w:rsidRDefault="002D3041" w:rsidP="002D3041">
      <w:pPr>
        <w:tabs>
          <w:tab w:val="left" w:pos="1701"/>
          <w:tab w:val="left" w:pos="1985"/>
        </w:tabs>
        <w:spacing w:after="0"/>
        <w:ind w:left="1980" w:hanging="1980"/>
      </w:pPr>
      <w:r>
        <w:t>Deutung:</w:t>
      </w:r>
      <w:r>
        <w:tab/>
      </w:r>
      <w:r>
        <w:tab/>
        <w:t>Bei der Reaktion mit Schwefelsäure findet eine Redox-Reaktion statt. Das jeweilige Metall wird oxidiert und gibt Elektronen ab. Die Protonen der Schwefelsäure werden reduziert und es entsteht elementarer Wasserstoff, welcher als Gas entweicht:</w:t>
      </w:r>
    </w:p>
    <w:p w:rsidR="002D3041" w:rsidRPr="007A33B3" w:rsidRDefault="002D3041" w:rsidP="002D3041">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HSO</m:t>
                    </m:r>
                  </m:e>
                  <m:sub>
                    <m:r>
                      <m:rPr>
                        <m:sty m:val="p"/>
                      </m:rPr>
                      <w:rPr>
                        <w:rFonts w:ascii="Cambria Math" w:hAnsi="Cambria Math"/>
                      </w:rPr>
                      <m:t>4</m:t>
                    </m:r>
                  </m:sub>
                </m:sSub>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oMath>
    </w:p>
    <w:p w:rsidR="002D3041" w:rsidRPr="007A33B3" w:rsidRDefault="002D3041" w:rsidP="002D3041">
      <w:pPr>
        <w:tabs>
          <w:tab w:val="left" w:pos="1701"/>
          <w:tab w:val="left" w:pos="1985"/>
        </w:tabs>
        <w:spacing w:after="0"/>
        <w:ind w:left="1980" w:hanging="1980"/>
      </w:pPr>
      <w:r>
        <w:tab/>
      </w:r>
      <w:r>
        <w:tab/>
      </w:r>
      <m:oMath>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oMath>
    </w:p>
    <w:p w:rsidR="002D3041" w:rsidRDefault="002D3041" w:rsidP="002D3041">
      <w:pPr>
        <w:tabs>
          <w:tab w:val="left" w:pos="1701"/>
          <w:tab w:val="left" w:pos="1985"/>
        </w:tabs>
        <w:spacing w:after="0"/>
        <w:ind w:left="1980" w:hanging="1980"/>
      </w:pPr>
      <w:r>
        <w:tab/>
      </w:r>
      <w:r>
        <w:tab/>
        <w:t>Mit Kupfer findet keine Reaktion statt, da Kupfer ein edles Metall ist und somit nicht reagiert. Beim Eindampfen bilden sich die Metallsulfat-Salze:</w:t>
      </w:r>
    </w:p>
    <w:p w:rsidR="002D3041" w:rsidRPr="007A33B3" w:rsidRDefault="002D3041" w:rsidP="002D3041">
      <w:pPr>
        <w:tabs>
          <w:tab w:val="left" w:pos="1701"/>
          <w:tab w:val="left" w:pos="1985"/>
        </w:tabs>
        <w:spacing w:after="0"/>
        <w:ind w:left="1980" w:hanging="1980"/>
      </w:pPr>
      <w:r>
        <w:tab/>
      </w:r>
      <w:r>
        <w:tab/>
      </w:r>
      <m:oMath>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(s)</m:t>
            </m:r>
          </m:sub>
        </m:sSub>
      </m:oMath>
    </w:p>
    <w:p w:rsidR="002D3041" w:rsidRDefault="002D3041" w:rsidP="002D3041">
      <w:pPr>
        <w:tabs>
          <w:tab w:val="left" w:pos="1701"/>
          <w:tab w:val="left" w:pos="1985"/>
        </w:tabs>
        <w:spacing w:after="0"/>
        <w:ind w:left="1980" w:hanging="1980"/>
      </w:pPr>
      <w:r>
        <w:tab/>
      </w:r>
      <w:r>
        <w:tab/>
        <w:t>Die Salzbildung wird durch das Lösen umgekehrt und die Sulfat-Ionen können mit Hilfe einer angesäuerten Bariumchlorid-Lösung nachgewiesen werden. Somit kann bewiesen werden, dass die Sulfat-Ionen aus der Schwefelsäure stammen müssen.</w:t>
      </w:r>
    </w:p>
    <w:p w:rsidR="002D3041" w:rsidRPr="00AC0EFB" w:rsidRDefault="002D3041" w:rsidP="002D3041">
      <w:pPr>
        <w:tabs>
          <w:tab w:val="left" w:pos="1701"/>
          <w:tab w:val="left" w:pos="1985"/>
        </w:tabs>
        <w:spacing w:after="0"/>
        <w:ind w:left="1980" w:hanging="1980"/>
      </w:pPr>
      <w:r>
        <w:t>Entsorgung:</w:t>
      </w:r>
      <w:r>
        <w:tab/>
      </w:r>
      <w:r>
        <w:tab/>
        <w:t>Die Bariumchlorid-Lösung, die restlichen Kupferspäne und die Zinkgran</w:t>
      </w:r>
      <w:r>
        <w:t>a</w:t>
      </w:r>
      <w:r>
        <w:t>lien werden in den Schwermetallbehälter gegeben. Die anderen Lösungen aus den Reagenzgläsern werden gesammelt, neutralisiert und in den A</w:t>
      </w:r>
      <w:r>
        <w:t>b</w:t>
      </w:r>
      <w:r>
        <w:t>guss gegeben. Magnesium vorsichtig mit Natriumhydrogencarbonat ve</w:t>
      </w:r>
      <w:r>
        <w:t>r</w:t>
      </w:r>
      <w:r>
        <w:t>setzen, langsam Wasser hinzugeben. Vorsicht, heftige Wärmeentwicklung!</w:t>
      </w:r>
      <w:r>
        <w:br/>
        <w:t>In Sammelbehälter für Salzlösungen geben, nachdem die Lösung neutral</w:t>
      </w:r>
      <w:r>
        <w:t>i</w:t>
      </w:r>
      <w:r>
        <w:t>siert wurde.</w:t>
      </w:r>
    </w:p>
    <w:p w:rsidR="002D3041" w:rsidRDefault="002D3041" w:rsidP="002D3041">
      <w:pPr>
        <w:tabs>
          <w:tab w:val="left" w:pos="1701"/>
          <w:tab w:val="left" w:pos="1985"/>
        </w:tabs>
        <w:ind w:left="1980" w:hanging="1980"/>
      </w:pPr>
      <w:r>
        <w:t>Literatur:</w:t>
      </w:r>
      <w:r>
        <w:tab/>
      </w:r>
      <w:r>
        <w:tab/>
        <w:t>W. Glöckner et al., Handbuch der experimentellen Chemie Sekundarb</w:t>
      </w:r>
      <w:r>
        <w:t>e</w:t>
      </w:r>
      <w:r>
        <w:t>reich II – Band 1: Wasserstoff, Stickstoff</w:t>
      </w:r>
      <w:r>
        <w:t>- und Sauerstoffgruppe, Aulis, 2002</w:t>
      </w:r>
      <w:bookmarkStart w:id="1" w:name="_GoBack"/>
      <w:bookmarkEnd w:id="1"/>
      <w:r>
        <w:t>, 297 &amp; 298</w:t>
      </w:r>
      <w:r>
        <w:t>.</w:t>
      </w:r>
    </w:p>
    <w:p w:rsidR="002D3041" w:rsidRDefault="002D3041" w:rsidP="002D3041">
      <w:pPr>
        <w:tabs>
          <w:tab w:val="left" w:pos="1701"/>
          <w:tab w:val="left" w:pos="1985"/>
        </w:tabs>
        <w:ind w:left="1980" w:hanging="1980"/>
      </w:pPr>
      <w:r>
        <w:rPr>
          <w:noProof/>
          <w:lang w:eastAsia="zh-TW"/>
        </w:rPr>
        <w:lastRenderedPageBreak/>
        <mc:AlternateContent>
          <mc:Choice Requires="wps">
            <w:drawing>
              <wp:inline distT="0" distB="0" distL="0" distR="0" wp14:anchorId="6D5BC374" wp14:editId="746635F8">
                <wp:extent cx="5760720" cy="3000375"/>
                <wp:effectExtent l="0" t="0" r="11430" b="28575"/>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003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3041" w:rsidRPr="008D285A" w:rsidRDefault="002D3041" w:rsidP="002D3041">
                            <w:pPr>
                              <w:rPr>
                                <w:color w:val="auto"/>
                              </w:rPr>
                            </w:pPr>
                            <w:r w:rsidRPr="008D285A">
                              <w:rPr>
                                <w:color w:val="auto"/>
                              </w:rPr>
                              <w:t>Dieser Versuch zeigt, dass Schwefelsäure in der Lage is</w:t>
                            </w:r>
                            <w:r>
                              <w:rPr>
                                <w:color w:val="auto"/>
                              </w:rPr>
                              <w:t>t, unedle Metalle zu oxidieren. Mit Hilfe dieses Experiments kann die Redox-Reaktion weiter vertieft oder erarbeitet werden. Die Chemikalien, mit denen die SuS arbeiten sind nicht ganz ungefährlich und deshalb sollte die Lehrkraft auf die SuS beim Experimentieren unterstützen und dieses Experiment nur mit Klassen durchführen, die dazu in der Lage sind. Mit Wasserstoff darf erst ab der 10. Klasse gearbeitet werden, deshalb darf dieses Experiment nur in dieser Klassenstufe oder darüber verwendet werden. Die Salzbildung und die Eigenschaften von Salzen können wiederholt werden. Es bietet sich auch an, diesen Versuch zu erweitern und die SuS die gebildeten Salze auf ihre Eigenschaften untersuchen zulassen,  um selber zu der Erkenntnis zu kommen, dass es sich um ein Salz handelt. Der Versuch kann auch abgewandelt werden, indem jede Schül</w:t>
                            </w:r>
                            <w:r>
                              <w:rPr>
                                <w:color w:val="auto"/>
                              </w:rPr>
                              <w:t>e</w:t>
                            </w:r>
                            <w:r>
                              <w:rPr>
                                <w:color w:val="auto"/>
                              </w:rPr>
                              <w:t>rInnen-Gruppe die Reaktion von Schwefelsäure mit jeweils einem Metall durchführt. So hat man zwar keinen Vergleich der einzelnen Metalle, aber es kann Zeit gespart werden.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53.6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" fillcolor="white [3201]" strokecolor="#c0504d [3205]" strokeweight="1pt">
                <v:stroke dashstyle="dash"/>
                <v:shadow color="#868686"/>
                <v:textbox>
                  <w:txbxContent>
                    <w:p w:rsidR="002D3041" w:rsidRPr="008D285A" w:rsidRDefault="002D3041" w:rsidP="002D3041">
                      <w:pPr>
                        <w:rPr>
                          <w:color w:val="auto"/>
                        </w:rPr>
                      </w:pPr>
                      <w:r w:rsidRPr="008D285A">
                        <w:rPr>
                          <w:color w:val="auto"/>
                        </w:rPr>
                        <w:t>Dieser Versuch zeigt, dass Schwefelsäure in der Lage is</w:t>
                      </w:r>
                      <w:r>
                        <w:rPr>
                          <w:color w:val="auto"/>
                        </w:rPr>
                        <w:t>t, unedle Metalle zu oxidieren. Mit Hilfe dieses Experiments kann die Redox-Reaktion weiter vertieft oder erarbeitet werden. Die Chemikalien, mit denen die SuS arbeiten sind nicht ganz ungefährlich und deshalb sollte die Lehrkraft auf die SuS beim Experimentieren unterstützen und dieses Experiment nur mit Klassen durchführen, die dazu in der Lage sind. Mit Wasserstoff darf erst ab der 10. Klasse gearbeitet werden, deshalb darf dieses Experiment nur in dieser Klassenstufe oder darüber verwendet werden. Die Salzbildung und die Eigenschaften von Salzen können wiederholt werden. Es bietet sich auch an, diesen Versuch zu erweitern und die SuS die gebildeten Salze auf ihre Eigenschaften untersuchen zulassen,  um selber zu der Erkenntnis zu kommen, dass es sich um ein Salz handelt. Der Versuch kann auch abgewandelt werden, indem jede Schül</w:t>
                      </w:r>
                      <w:r>
                        <w:rPr>
                          <w:color w:val="auto"/>
                        </w:rPr>
                        <w:t>e</w:t>
                      </w:r>
                      <w:r>
                        <w:rPr>
                          <w:color w:val="auto"/>
                        </w:rPr>
                        <w:t>rInnen-Gruppe die Reaktion von Schwefelsäure mit jeweils einem Metall durchführt. So hat man zwar keinen Vergleich der einzelnen Metalle, aber es kann Zeit gespart werden.</w:t>
                      </w:r>
                    </w:p>
                  </w:txbxContent>
                </v:textbox>
                <w10:anchorlock/>
              </v:shape>
            </w:pict>
          </mc:Fallback>
        </mc:AlternateContent>
      </w:r>
    </w:p>
    <w:p w:rsidR="00BE6DD9" w:rsidRPr="002D3041" w:rsidRDefault="00BE6DD9" w:rsidP="002D3041"/>
    <w:sectPr w:rsidR="00BE6DD9" w:rsidRPr="002D3041"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CCD" w:rsidRDefault="00F42CCD" w:rsidP="009524CC">
      <w:pPr>
        <w:spacing w:after="0"/>
      </w:pPr>
      <w:r>
        <w:separator/>
      </w:r>
    </w:p>
  </w:endnote>
  <w:endnote w:type="continuationSeparator" w:id="0">
    <w:p w:rsidR="00F42CCD" w:rsidRDefault="00F42CCD"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CCD" w:rsidRDefault="00F42CCD" w:rsidP="009524CC">
      <w:pPr>
        <w:spacing w:after="0"/>
      </w:pPr>
      <w:r>
        <w:separator/>
      </w:r>
    </w:p>
  </w:footnote>
  <w:footnote w:type="continuationSeparator" w:id="0">
    <w:p w:rsidR="00F42CCD" w:rsidRDefault="00F42CCD"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2D3041" w:rsidRPr="002D3041">
            <w:rPr>
              <w:b/>
              <w:bCs/>
              <w:noProof/>
              <w:sz w:val="20"/>
              <w:szCs w:val="20"/>
            </w:rPr>
            <w:t>V 6 –Reaktionen von Schwefelsäure mit verschiedenen Metallen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2D3041">
            <w:rPr>
              <w:noProof/>
              <w:sz w:val="20"/>
              <w:szCs w:val="20"/>
            </w:rPr>
            <w:t>4</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27407"/>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4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2B60"/>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102"/>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0AE"/>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22A"/>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CCD"/>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BD9A-FBC9-41D0-A9C7-88DDB6D1B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2913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2013-08-14T20:15:00Z</dcterms:created>
  <dcterms:modified xsi:type="dcterms:W3CDTF">2013-08-14T20:15:00Z</dcterms:modified>
</cp:coreProperties>
</file>