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6E1" w:rsidRDefault="00C456E1"/>
    <w:p w:rsidR="002D5F25" w:rsidRPr="00290189" w:rsidRDefault="002D5F25" w:rsidP="002D5F25">
      <w:pPr>
        <w:pStyle w:val="berschrift2"/>
        <w:numPr>
          <w:ilvl w:val="0"/>
          <w:numId w:val="0"/>
        </w:numPr>
        <w:ind w:left="576" w:hanging="576"/>
      </w:pPr>
      <w:bookmarkStart w:id="0" w:name="_Toc364001956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BD259" wp14:editId="65517FA4">
                <wp:simplePos x="0" y="0"/>
                <wp:positionH relativeFrom="column">
                  <wp:posOffset>-635</wp:posOffset>
                </wp:positionH>
                <wp:positionV relativeFrom="paragraph">
                  <wp:posOffset>408940</wp:posOffset>
                </wp:positionV>
                <wp:extent cx="5873115" cy="787400"/>
                <wp:effectExtent l="13335" t="11430" r="9525" b="10795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87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5F25" w:rsidRPr="00E15E29" w:rsidRDefault="002D5F25" w:rsidP="002D5F25">
                            <w:pPr>
                              <w:jc w:val="both"/>
                            </w:pPr>
                            <w:r>
                              <w:t>Der folgende Versuch dient zum einen dem Nachweis des erhaltenen Produkts aus V 2.1. Zum anderen verdeutlicht das Experiment die Reaktivität der Alkalimetalle, in diesem Fall mit Wa</w:t>
                            </w:r>
                            <w:r>
                              <w:t>s</w:t>
                            </w:r>
                            <w:r>
                              <w:t xml:space="preserve">ser zum Hydroxid.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-.05pt;margin-top:32.2pt;width:462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" fillcolor="white [3201]" strokecolor="#4bacc6 [3208]" strokeweight="1pt">
                <v:stroke dashstyle="dash"/>
                <v:shadow color="#868686"/>
                <v:textbox>
                  <w:txbxContent>
                    <w:p w:rsidR="002D5F25" w:rsidRPr="00E15E29" w:rsidRDefault="002D5F25" w:rsidP="002D5F25">
                      <w:pPr>
                        <w:jc w:val="both"/>
                      </w:pPr>
                      <w:r>
                        <w:t>Der folgende Versuch dient zum einen dem Nachweis des erhaltenen Produkts aus V 2.1. Zum anderen verdeutlicht das Experiment die Reaktivität der Alkalimetalle, in diesem Fall mit Wa</w:t>
                      </w:r>
                      <w:r>
                        <w:t>s</w:t>
                      </w:r>
                      <w:r>
                        <w:t xml:space="preserve">ser zum Hydroxid.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>
        <w:t>V 2.2 – Nachweis von Natrium (Lithium) und Reaktivität mit Wasser</w:t>
      </w:r>
      <w:bookmarkEnd w:id="0"/>
    </w:p>
    <w:p w:rsidR="002D5F25" w:rsidRDefault="002D5F25" w:rsidP="002D5F25">
      <w:pPr>
        <w:tabs>
          <w:tab w:val="left" w:pos="1701"/>
          <w:tab w:val="left" w:pos="1985"/>
        </w:tabs>
      </w:pP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D5F25" w:rsidRPr="009C5E28" w:rsidTr="006A7DBF">
        <w:tc>
          <w:tcPr>
            <w:tcW w:w="9322" w:type="dxa"/>
            <w:gridSpan w:val="9"/>
            <w:shd w:val="clear" w:color="auto" w:fill="4F81BD"/>
            <w:vAlign w:val="center"/>
          </w:tcPr>
          <w:p w:rsidR="002D5F25" w:rsidRPr="009C5E28" w:rsidRDefault="002D5F25" w:rsidP="006A7DBF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2D5F25" w:rsidRPr="009C5E28" w:rsidTr="006A7DB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D5F25" w:rsidRPr="009C5E28" w:rsidRDefault="002D5F25" w:rsidP="006A7DBF">
            <w:pPr>
              <w:spacing w:after="0"/>
              <w:jc w:val="center"/>
              <w:rPr>
                <w:bCs/>
                <w:sz w:val="20"/>
              </w:rPr>
            </w:pPr>
            <w:r>
              <w:rPr>
                <w:sz w:val="20"/>
                <w:szCs w:val="20"/>
              </w:rPr>
              <w:t>Natrium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D5F25" w:rsidRPr="0077775B" w:rsidRDefault="002D5F25" w:rsidP="006A7DBF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77775B">
              <w:rPr>
                <w:sz w:val="20"/>
                <w:szCs w:val="20"/>
              </w:rPr>
              <w:t>H: 260, 314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D5F25" w:rsidRPr="009C5E28" w:rsidRDefault="002D5F25" w:rsidP="006A7DBF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280, 301+330+331, 305+ 351+338, 309+310, 370+378, 422</w:t>
            </w:r>
          </w:p>
        </w:tc>
      </w:tr>
      <w:tr w:rsidR="002D5F25" w:rsidRPr="009C5E28" w:rsidTr="006A7DB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D5F25" w:rsidRDefault="002D5F25" w:rsidP="006A7D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Lithium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D5F25" w:rsidRPr="0077775B" w:rsidRDefault="002D5F25" w:rsidP="006A7DBF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77775B">
              <w:rPr>
                <w:sz w:val="20"/>
                <w:szCs w:val="20"/>
              </w:rPr>
              <w:t>H: 260, 314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D5F25" w:rsidRPr="009C5E28" w:rsidRDefault="002D5F25" w:rsidP="006A7DB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280, 301+330+331, 305+ 351+338, 309+310, 370+378b, 402+404</w:t>
            </w:r>
          </w:p>
        </w:tc>
      </w:tr>
      <w:tr w:rsidR="002D5F25" w:rsidRPr="009C5E28" w:rsidTr="006A7DB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D5F25" w:rsidRDefault="002D5F25" w:rsidP="006A7D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D5F25" w:rsidRPr="0077775B" w:rsidRDefault="002D5F25" w:rsidP="006A7DBF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D5F25" w:rsidRDefault="002D5F25" w:rsidP="006A7DB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-</w:t>
            </w:r>
          </w:p>
        </w:tc>
      </w:tr>
      <w:tr w:rsidR="002D5F25" w:rsidRPr="009C5E28" w:rsidTr="006A7DBF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D5F25" w:rsidRDefault="002D5F25" w:rsidP="006A7DB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Phenolphtalein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D5F25" w:rsidRPr="0077775B" w:rsidRDefault="002D5F25" w:rsidP="006A7DBF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350, 341, 361f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D5F25" w:rsidRDefault="002D5F25" w:rsidP="006A7DBF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201, 281, 308+313</w:t>
            </w:r>
          </w:p>
        </w:tc>
      </w:tr>
      <w:tr w:rsidR="002D5F25" w:rsidRPr="009C5E28" w:rsidTr="006A7DB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5F25" w:rsidRPr="009C5E28" w:rsidRDefault="002D5F25" w:rsidP="006A7DB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D50F4B4" wp14:editId="05C8871E">
                  <wp:extent cx="504190" cy="50419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5F25" w:rsidRPr="009C5E28" w:rsidRDefault="002D5F25" w:rsidP="006A7D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8F448AF" wp14:editId="4E956A05">
                  <wp:extent cx="504190" cy="50419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5F25" w:rsidRPr="009C5E28" w:rsidRDefault="002D5F25" w:rsidP="006A7D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51112D0" wp14:editId="0B0B9CF8">
                  <wp:extent cx="504190" cy="50419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5F25" w:rsidRPr="009C5E28" w:rsidRDefault="002D5F25" w:rsidP="006A7D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7917CAE" wp14:editId="03690DF5">
                  <wp:extent cx="504190" cy="50419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5F25" w:rsidRPr="009C5E28" w:rsidRDefault="002D5F25" w:rsidP="006A7D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049354F" wp14:editId="438F1893">
                  <wp:extent cx="504190" cy="50419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5F25" w:rsidRPr="009C5E28" w:rsidRDefault="002D5F25" w:rsidP="006A7D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3AEA96D" wp14:editId="3EA69543">
                  <wp:extent cx="504190" cy="50419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5F25" w:rsidRPr="009C5E28" w:rsidRDefault="002D5F25" w:rsidP="006A7D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7B8FCF1" wp14:editId="2ECC559C">
                  <wp:extent cx="504190" cy="50419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D5F25" w:rsidRPr="009C5E28" w:rsidRDefault="002D5F25" w:rsidP="006A7D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FFD1404" wp14:editId="5AF5CF31">
                  <wp:extent cx="511175" cy="51117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D5F25" w:rsidRPr="009C5E28" w:rsidRDefault="002D5F25" w:rsidP="006A7DB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31A80D1" wp14:editId="4ACC88A0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5F25" w:rsidRDefault="002D5F25" w:rsidP="002D5F25">
      <w:pPr>
        <w:tabs>
          <w:tab w:val="left" w:pos="1701"/>
          <w:tab w:val="left" w:pos="1985"/>
        </w:tabs>
      </w:pPr>
    </w:p>
    <w:p w:rsidR="002D5F25" w:rsidRDefault="002D5F25" w:rsidP="002D5F2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Pneumatische Wanne, Messer.</w:t>
      </w:r>
    </w:p>
    <w:p w:rsidR="002D5F25" w:rsidRPr="00ED07C2" w:rsidRDefault="002D5F25" w:rsidP="002D5F2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Natrium (Lithium), Wasser, Phenolphtalein.</w:t>
      </w:r>
    </w:p>
    <w:p w:rsidR="002D5F25" w:rsidRDefault="002D5F25" w:rsidP="002D5F2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Das Produkt aus V 2.1 wird in eine Pneumatische Wanne mit Wasser und wenigen Tropfen Phenolphtalein gelegt und direkt danach der Abzug he</w:t>
      </w:r>
      <w:r>
        <w:t>r</w:t>
      </w:r>
      <w:r>
        <w:t>untergezogen. Zum Vergleich wird dieser Vorgang mit einem sehr kleinen, sorgfältig entrindeten, Stück Natrium (Lithium) wiederholt und verglichen (vgl. Abb. 5).</w:t>
      </w:r>
    </w:p>
    <w:p w:rsidR="002D5F25" w:rsidRDefault="002D5F25" w:rsidP="002D5F2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Nachdem das Produkt, selbiges gilt für das frische Stück Natrium, in die Wanne gelegt wird, ist eine Gasentwicklung zu beobachten und die Lösung färbt sich pink.</w:t>
      </w:r>
    </w:p>
    <w:p w:rsidR="002D5F25" w:rsidRDefault="002D5F25" w:rsidP="002D5F25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23A22C88" wp14:editId="1F931F0C">
            <wp:extent cx="2168925" cy="1620000"/>
            <wp:effectExtent l="0" t="0" r="0" b="0"/>
            <wp:docPr id="34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25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6A1AC754" wp14:editId="205DD5A8">
            <wp:extent cx="2170800" cy="1620000"/>
            <wp:effectExtent l="0" t="0" r="0" b="0"/>
            <wp:docPr id="3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8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F25" w:rsidRDefault="002D5F25" w:rsidP="002D5F25">
      <w:pPr>
        <w:pStyle w:val="Beschriftung"/>
        <w:jc w:val="center"/>
        <w:rPr>
          <w:noProof/>
        </w:rPr>
      </w:pPr>
      <w:r>
        <w:t>Abb. 5 –</w:t>
      </w:r>
      <w:r>
        <w:rPr>
          <w:noProof/>
        </w:rPr>
        <w:t xml:space="preserve"> Links: Nach der Reaktion des erhaltenen Produkts. Rechts: Nach der Reaktion des frischem Alkans.</w:t>
      </w:r>
    </w:p>
    <w:p w:rsidR="002D5F25" w:rsidRPr="00FE411C" w:rsidRDefault="002D5F25" w:rsidP="002D5F25"/>
    <w:p w:rsidR="002D5F25" w:rsidRPr="00FE411C" w:rsidRDefault="002D5F25" w:rsidP="002D5F25">
      <w:pPr>
        <w:tabs>
          <w:tab w:val="left" w:pos="1701"/>
          <w:tab w:val="left" w:pos="1985"/>
        </w:tabs>
        <w:ind w:left="1980" w:hanging="1980"/>
      </w:pPr>
      <w:r>
        <w:lastRenderedPageBreak/>
        <w:t>Deutung:</w:t>
      </w:r>
      <w:r>
        <w:tab/>
      </w:r>
      <w:r>
        <w:tab/>
      </w:r>
      <w:r w:rsidRPr="00FE411C">
        <w:t xml:space="preserve">Die </w:t>
      </w:r>
      <w:proofErr w:type="spellStart"/>
      <w:r w:rsidRPr="00FE411C">
        <w:t>Pinkfärbung</w:t>
      </w:r>
      <w:proofErr w:type="spellEnd"/>
      <w:r w:rsidRPr="00FE411C">
        <w:t xml:space="preserve"> des Indikators signalisiert, dass eine Lauge, in diesem Fall Natriumhydroxid (bzw. Lithiumhydroxid)</w:t>
      </w:r>
      <w:r>
        <w:t>, vorliegt</w:t>
      </w:r>
      <w:r w:rsidRPr="00FE411C">
        <w:t xml:space="preserve">. Das Natrium reagiert mit dem Wasser nach der folgenden Reaktionsgleichung: </w:t>
      </w:r>
    </w:p>
    <w:p w:rsidR="002D5F25" w:rsidRPr="00FE411C" w:rsidRDefault="002D5F25" w:rsidP="002D5F25">
      <w:pPr>
        <w:tabs>
          <w:tab w:val="left" w:pos="1701"/>
          <w:tab w:val="left" w:pos="1985"/>
        </w:tabs>
        <w:ind w:left="1980" w:hanging="1980"/>
        <w:rPr>
          <w:lang w:val="en-US"/>
        </w:rPr>
      </w:pPr>
      <w:r w:rsidRPr="00DA25B5">
        <w:tab/>
      </w:r>
      <w:r w:rsidRPr="00DA25B5">
        <w:tab/>
      </w:r>
      <w:r w:rsidRPr="00FE411C">
        <w:rPr>
          <w:lang w:val="en-US"/>
        </w:rPr>
        <w:t xml:space="preserve">Na </w:t>
      </w:r>
      <w:r w:rsidRPr="00FE411C">
        <w:rPr>
          <w:vertAlign w:val="subscript"/>
          <w:lang w:val="en-US"/>
        </w:rPr>
        <w:t>(s)</w:t>
      </w:r>
      <w:r w:rsidRPr="00FE411C">
        <w:rPr>
          <w:lang w:val="en-US"/>
        </w:rPr>
        <w:t xml:space="preserve"> + H</w:t>
      </w:r>
      <w:r w:rsidRPr="00FE411C">
        <w:rPr>
          <w:vertAlign w:val="subscript"/>
          <w:lang w:val="en-US"/>
        </w:rPr>
        <w:t>2</w:t>
      </w:r>
      <w:r w:rsidRPr="00FE411C">
        <w:rPr>
          <w:lang w:val="en-US"/>
        </w:rPr>
        <w:t xml:space="preserve">O </w:t>
      </w:r>
      <w:r w:rsidRPr="00FE411C">
        <w:rPr>
          <w:vertAlign w:val="subscript"/>
          <w:lang w:val="en-US"/>
        </w:rPr>
        <w:t>(l)</w:t>
      </w:r>
      <w:r w:rsidRPr="00FE411C">
        <w:rPr>
          <w:lang w:val="en-US"/>
        </w:rPr>
        <w:t xml:space="preserve"> </w:t>
      </w:r>
      <w:r w:rsidRPr="00FE411C">
        <w:sym w:font="Wingdings" w:char="F0E0"/>
      </w:r>
      <w:r w:rsidRPr="00FE411C">
        <w:rPr>
          <w:lang w:val="en-US"/>
        </w:rPr>
        <w:t xml:space="preserve"> Na</w:t>
      </w:r>
      <w:r>
        <w:rPr>
          <w:vertAlign w:val="superscript"/>
          <w:lang w:val="en-US"/>
        </w:rPr>
        <w:t>+</w:t>
      </w:r>
      <w:r>
        <w:rPr>
          <w:lang w:val="en-US"/>
        </w:rPr>
        <w:t xml:space="preserve"> </w:t>
      </w:r>
      <w:r>
        <w:rPr>
          <w:vertAlign w:val="subscript"/>
          <w:lang w:val="en-US"/>
        </w:rPr>
        <w:t>(</w:t>
      </w:r>
      <w:proofErr w:type="spellStart"/>
      <w:r>
        <w:rPr>
          <w:vertAlign w:val="subscript"/>
          <w:lang w:val="en-US"/>
        </w:rPr>
        <w:t>aq</w:t>
      </w:r>
      <w:proofErr w:type="spellEnd"/>
      <w:r>
        <w:rPr>
          <w:vertAlign w:val="subscript"/>
          <w:lang w:val="en-US"/>
        </w:rPr>
        <w:t>)</w:t>
      </w:r>
      <w:r>
        <w:rPr>
          <w:lang w:val="en-US"/>
        </w:rPr>
        <w:t xml:space="preserve"> + </w:t>
      </w:r>
      <w:r w:rsidRPr="00FE411C">
        <w:rPr>
          <w:lang w:val="en-US"/>
        </w:rPr>
        <w:t>OH</w:t>
      </w:r>
      <w:r>
        <w:rPr>
          <w:vertAlign w:val="superscript"/>
          <w:lang w:val="en-US"/>
        </w:rPr>
        <w:t>-</w:t>
      </w:r>
      <w:r w:rsidRPr="00FE411C">
        <w:rPr>
          <w:lang w:val="en-US"/>
        </w:rPr>
        <w:t xml:space="preserve"> </w:t>
      </w:r>
      <w:r w:rsidRPr="00FE411C">
        <w:rPr>
          <w:vertAlign w:val="subscript"/>
          <w:lang w:val="en-US"/>
        </w:rPr>
        <w:t>(</w:t>
      </w:r>
      <w:proofErr w:type="spellStart"/>
      <w:r w:rsidRPr="00FE411C">
        <w:rPr>
          <w:vertAlign w:val="subscript"/>
          <w:lang w:val="en-US"/>
        </w:rPr>
        <w:t>aq</w:t>
      </w:r>
      <w:proofErr w:type="spellEnd"/>
      <w:r w:rsidRPr="00FE411C">
        <w:rPr>
          <w:vertAlign w:val="subscript"/>
          <w:lang w:val="en-US"/>
        </w:rPr>
        <w:t>)</w:t>
      </w:r>
      <w:r w:rsidRPr="00FE411C">
        <w:rPr>
          <w:lang w:val="en-US"/>
        </w:rPr>
        <w:t xml:space="preserve"> + ½ H</w:t>
      </w:r>
      <w:r w:rsidRPr="00FE411C">
        <w:rPr>
          <w:vertAlign w:val="subscript"/>
          <w:lang w:val="en-US"/>
        </w:rPr>
        <w:t>2 (g)</w:t>
      </w:r>
      <w:r w:rsidRPr="00FE411C">
        <w:rPr>
          <w:lang w:val="en-US"/>
        </w:rPr>
        <w:t xml:space="preserve"> </w:t>
      </w:r>
    </w:p>
    <w:p w:rsidR="002D5F25" w:rsidRPr="00FE411C" w:rsidRDefault="002D5F25" w:rsidP="002D5F25">
      <w:pPr>
        <w:tabs>
          <w:tab w:val="left" w:pos="1701"/>
          <w:tab w:val="left" w:pos="1985"/>
        </w:tabs>
        <w:ind w:left="1980" w:hanging="1980"/>
      </w:pPr>
      <w:r>
        <w:rPr>
          <w:lang w:val="en-US"/>
        </w:rPr>
        <w:tab/>
      </w:r>
      <w:r>
        <w:rPr>
          <w:lang w:val="en-US"/>
        </w:rPr>
        <w:tab/>
      </w:r>
      <w:r w:rsidRPr="00FE411C">
        <w:t>Die Gasentwicklung ist somit auf die Entstehung von Wasserstoff zurückz</w:t>
      </w:r>
      <w:r w:rsidRPr="00FE411C">
        <w:t>u</w:t>
      </w:r>
      <w:r w:rsidRPr="00FE411C">
        <w:t>führen.</w:t>
      </w:r>
    </w:p>
    <w:p w:rsidR="002D5F25" w:rsidRDefault="002D5F25" w:rsidP="002D5F25">
      <w:pPr>
        <w:tabs>
          <w:tab w:val="left" w:pos="1701"/>
          <w:tab w:val="left" w:pos="1985"/>
        </w:tabs>
        <w:ind w:left="1980" w:hanging="1980"/>
      </w:pPr>
      <w:r w:rsidRPr="00C74A2E">
        <w:t xml:space="preserve">Entsorgung: </w:t>
      </w:r>
      <w:r>
        <w:tab/>
      </w:r>
      <w:r>
        <w:tab/>
        <w:t>Die Lösung in der Wanne wird in den Säure-Base-Behälter geschüttet</w:t>
      </w:r>
      <w:r w:rsidRPr="00C74A2E">
        <w:t>.</w:t>
      </w:r>
    </w:p>
    <w:p w:rsidR="002D5F25" w:rsidRDefault="002D5F25" w:rsidP="002D5F25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15330" cy="1049020"/>
                <wp:effectExtent l="13970" t="15240" r="9525" b="12065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049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D5F25" w:rsidRPr="00314BB5" w:rsidRDefault="002D5F25" w:rsidP="002D5F25">
                            <w:pPr>
                              <w:jc w:val="both"/>
                            </w:pPr>
                            <w:r w:rsidRPr="00314BB5">
                              <w:rPr>
                                <w:b/>
                              </w:rPr>
                              <w:t>Unterrichtsanschlüsse</w:t>
                            </w:r>
                            <w:r w:rsidRPr="00314BB5">
                              <w:t xml:space="preserve"> </w:t>
                            </w:r>
                            <w:r>
                              <w:t xml:space="preserve">Für diesen Demonstrationsversuch müssen auch die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 Schutzbri</w:t>
                            </w:r>
                            <w:r>
                              <w:t>l</w:t>
                            </w:r>
                            <w:r>
                              <w:t>len tragen und am besten sollte eine Schutzscheibe hochgezogen werden, da es auch zu ätze</w:t>
                            </w:r>
                            <w:r>
                              <w:t>n</w:t>
                            </w:r>
                            <w:r>
                              <w:t>den Spritzern kommen kann. Dieser Versuch eignet sich, um die starke Reaktivität der Alkal</w:t>
                            </w:r>
                            <w:r>
                              <w:t>i</w:t>
                            </w:r>
                            <w:r>
                              <w:t>metalle mit Wasser zum Hydroxid darzustellen.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5" o:spid="_x0000_s1027" type="#_x0000_t202" style="width:457.9pt;height:8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" fillcolor="white [3201]" strokecolor="#c0504d [3205]" strokeweight="1pt">
                <v:stroke dashstyle="dash"/>
                <v:shadow color="#868686"/>
                <v:textbox>
                  <w:txbxContent>
                    <w:p w:rsidR="002D5F25" w:rsidRPr="00314BB5" w:rsidRDefault="002D5F25" w:rsidP="002D5F25">
                      <w:pPr>
                        <w:jc w:val="both"/>
                      </w:pPr>
                      <w:r w:rsidRPr="00314BB5">
                        <w:rPr>
                          <w:b/>
                        </w:rPr>
                        <w:t>Unterrichtsanschlüsse</w:t>
                      </w:r>
                      <w:r w:rsidRPr="00314BB5">
                        <w:t xml:space="preserve"> </w:t>
                      </w:r>
                      <w:r>
                        <w:t xml:space="preserve">Für diesen Demonstrationsversuch müssen auch die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 Schutzbri</w:t>
                      </w:r>
                      <w:r>
                        <w:t>l</w:t>
                      </w:r>
                      <w:r>
                        <w:t>len tragen und am besten sollte eine Schutzscheibe hochgezogen werden, da es auch zu ätze</w:t>
                      </w:r>
                      <w:r>
                        <w:t>n</w:t>
                      </w:r>
                      <w:r>
                        <w:t>den Spritzern kommen kann. Dieser Versuch eignet sich, um die starke Reaktivität der Alkal</w:t>
                      </w:r>
                      <w:r>
                        <w:t>i</w:t>
                      </w:r>
                      <w:r>
                        <w:t>metalle mit Wasser zum Hydroxid darzustellen.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5F25" w:rsidRDefault="002D5F25"/>
    <w:sectPr w:rsidR="002D5F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25"/>
    <w:rsid w:val="002D5F25"/>
    <w:rsid w:val="00C4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5F25"/>
    <w:pPr>
      <w:keepNext/>
      <w:keepLines/>
      <w:numPr>
        <w:numId w:val="1"/>
      </w:numPr>
      <w:spacing w:before="360" w:after="24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5F25"/>
    <w:pPr>
      <w:keepNext/>
      <w:keepLines/>
      <w:numPr>
        <w:ilvl w:val="1"/>
        <w:numId w:val="1"/>
      </w:numPr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5F25"/>
    <w:pPr>
      <w:keepNext/>
      <w:keepLines/>
      <w:numPr>
        <w:ilvl w:val="2"/>
        <w:numId w:val="1"/>
      </w:numPr>
      <w:spacing w:before="200" w:after="12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5F25"/>
    <w:pPr>
      <w:keepNext/>
      <w:keepLines/>
      <w:numPr>
        <w:ilvl w:val="3"/>
        <w:numId w:val="1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5F25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5F25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5F25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5F25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5F25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5F2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5F2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5F2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5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5F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5F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5F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5F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5F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D5F25"/>
    <w:pPr>
      <w:spacing w:line="240" w:lineRule="auto"/>
      <w:jc w:val="both"/>
    </w:pPr>
    <w:rPr>
      <w:rFonts w:ascii="Cambria" w:hAnsi="Cambria"/>
      <w:bCs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D5F25"/>
    <w:pPr>
      <w:keepNext/>
      <w:keepLines/>
      <w:numPr>
        <w:numId w:val="1"/>
      </w:numPr>
      <w:spacing w:before="360" w:after="24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5F25"/>
    <w:pPr>
      <w:keepNext/>
      <w:keepLines/>
      <w:numPr>
        <w:ilvl w:val="1"/>
        <w:numId w:val="1"/>
      </w:numPr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5F25"/>
    <w:pPr>
      <w:keepNext/>
      <w:keepLines/>
      <w:numPr>
        <w:ilvl w:val="2"/>
        <w:numId w:val="1"/>
      </w:numPr>
      <w:spacing w:before="200" w:after="12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5F25"/>
    <w:pPr>
      <w:keepNext/>
      <w:keepLines/>
      <w:numPr>
        <w:ilvl w:val="3"/>
        <w:numId w:val="1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5F25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5F25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5F25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5F25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5F25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5F2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5F2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5F2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5F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5F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5F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5F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5F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5F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D5F25"/>
    <w:pPr>
      <w:spacing w:line="240" w:lineRule="auto"/>
      <w:jc w:val="both"/>
    </w:pPr>
    <w:rPr>
      <w:rFonts w:ascii="Cambria" w:hAnsi="Cambria"/>
      <w:bCs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2013-08-14T13:58:00Z</dcterms:created>
  <dcterms:modified xsi:type="dcterms:W3CDTF">2013-08-14T13:58:00Z</dcterms:modified>
</cp:coreProperties>
</file>