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C3" w:rsidRPr="00F274F1" w:rsidRDefault="004E69C3" w:rsidP="004E69C3">
      <w:pPr>
        <w:pStyle w:val="berschrift2"/>
        <w:numPr>
          <w:ilvl w:val="0"/>
          <w:numId w:val="0"/>
        </w:numPr>
      </w:pPr>
      <w:bookmarkStart w:id="0" w:name="_Toc396823104"/>
      <w:bookmarkStart w:id="1" w:name="_GoBack"/>
      <w:bookmarkEnd w:id="1"/>
      <w:r w:rsidRPr="00F274F1">
        <w:t xml:space="preserve">V 1 – </w:t>
      </w:r>
      <w:r>
        <w:t>Salmiakrauch</w:t>
      </w:r>
      <w:bookmarkEnd w:id="0"/>
    </w:p>
    <w:p w:rsidR="004E69C3" w:rsidRPr="00F274F1" w:rsidRDefault="004E69C3" w:rsidP="004E69C3">
      <w:r>
        <w:rPr>
          <w:noProof/>
          <w:lang w:eastAsia="de-DE"/>
        </w:rPr>
        <mc:AlternateContent>
          <mc:Choice Requires="wps">
            <w:drawing>
              <wp:anchor distT="0" distB="0" distL="114300" distR="114300" simplePos="0" relativeHeight="251659264" behindDoc="0" locked="0" layoutInCell="1" allowOverlap="1" wp14:anchorId="2202275E" wp14:editId="47AD0F4C">
                <wp:simplePos x="0" y="0"/>
                <wp:positionH relativeFrom="column">
                  <wp:posOffset>-53975</wp:posOffset>
                </wp:positionH>
                <wp:positionV relativeFrom="paragraph">
                  <wp:posOffset>166370</wp:posOffset>
                </wp:positionV>
                <wp:extent cx="5873115" cy="1003300"/>
                <wp:effectExtent l="0" t="0" r="13335" b="2540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330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E69C3" w:rsidRPr="00C220FE" w:rsidRDefault="004E69C3" w:rsidP="004E69C3">
                            <w:pPr>
                              <w:rPr>
                                <w:color w:val="auto"/>
                              </w:rPr>
                            </w:pPr>
                            <w:r>
                              <w:rPr>
                                <w:color w:val="auto"/>
                              </w:rPr>
                              <w:t xml:space="preserve">Der Versuch zeigt eine </w:t>
                            </w:r>
                            <w:proofErr w:type="spellStart"/>
                            <w:r>
                              <w:t>Brönstedt</w:t>
                            </w:r>
                            <w:proofErr w:type="spellEnd"/>
                            <w:r>
                              <w:t xml:space="preserve">-Säure-Base-Reaktion in der Gasphase, in der aus Salzsäure und Ammoniak Ammoniumchlorid entsteht. Es handelt sich hierbei um einen Lehrerversuch, da mit konzentrierter Salzsäure und konzentriertem Ammoniak gearbeitet wird. Den </w:t>
                            </w:r>
                            <w:proofErr w:type="spellStart"/>
                            <w:r>
                              <w:t>SuS</w:t>
                            </w:r>
                            <w:proofErr w:type="spellEnd"/>
                            <w:r>
                              <w:t xml:space="preserve"> sollten die Säure-Base-Definitionen von Arrhenius und </w:t>
                            </w:r>
                            <w:proofErr w:type="spellStart"/>
                            <w:r>
                              <w:t>Brönstedt</w:t>
                            </w:r>
                            <w:proofErr w:type="spellEnd"/>
                            <w:r>
                              <w:t xml:space="preserve"> bekannt sein.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left:0;text-align:left;margin-left:-4.25pt;margin-top:13.1pt;width:462.4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" strokecolor="#4bacc6" strokeweight="1pt">
                <v:stroke dashstyle="dash"/>
                <v:shadow color="#868686"/>
                <v:textbox>
                  <w:txbxContent>
                    <w:p w:rsidR="004E69C3" w:rsidRPr="00C220FE" w:rsidRDefault="004E69C3" w:rsidP="004E69C3">
                      <w:pPr>
                        <w:rPr>
                          <w:color w:val="auto"/>
                        </w:rPr>
                      </w:pPr>
                      <w:r>
                        <w:rPr>
                          <w:color w:val="auto"/>
                        </w:rPr>
                        <w:t xml:space="preserve">Der Versuch zeigt eine </w:t>
                      </w:r>
                      <w:proofErr w:type="spellStart"/>
                      <w:r>
                        <w:t>Brönstedt</w:t>
                      </w:r>
                      <w:proofErr w:type="spellEnd"/>
                      <w:r>
                        <w:t xml:space="preserve">-Säure-Base-Reaktion in der Gasphase, in der aus Salzsäure und Ammoniak Ammoniumchlorid entsteht. Es handelt sich hierbei um einen Lehrerversuch, da mit konzentrierter Salzsäure und konzentriertem Ammoniak gearbeitet wird. Den </w:t>
                      </w:r>
                      <w:proofErr w:type="spellStart"/>
                      <w:r>
                        <w:t>SuS</w:t>
                      </w:r>
                      <w:proofErr w:type="spellEnd"/>
                      <w:r>
                        <w:t xml:space="preserve"> sol</w:t>
                      </w:r>
                      <w:r>
                        <w:t>l</w:t>
                      </w:r>
                      <w:r>
                        <w:t xml:space="preserve">ten die Säure-Base-Definitionen von Arrhenius und </w:t>
                      </w:r>
                      <w:proofErr w:type="spellStart"/>
                      <w:r>
                        <w:t>Brönstedt</w:t>
                      </w:r>
                      <w:proofErr w:type="spellEnd"/>
                      <w:r>
                        <w:t xml:space="preserve"> bekannt sein.</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E69C3" w:rsidRPr="00F274F1" w:rsidTr="00786F3F">
        <w:tc>
          <w:tcPr>
            <w:tcW w:w="9322" w:type="dxa"/>
            <w:gridSpan w:val="9"/>
            <w:shd w:val="clear" w:color="auto" w:fill="4F81BD"/>
            <w:vAlign w:val="center"/>
          </w:tcPr>
          <w:p w:rsidR="004E69C3" w:rsidRPr="00F274F1" w:rsidRDefault="004E69C3" w:rsidP="00786F3F">
            <w:pPr>
              <w:spacing w:after="0"/>
              <w:jc w:val="center"/>
              <w:rPr>
                <w:b/>
                <w:bCs/>
              </w:rPr>
            </w:pPr>
            <w:r w:rsidRPr="00F274F1">
              <w:rPr>
                <w:b/>
                <w:bCs/>
              </w:rPr>
              <w:t>Gefahrenstoffe</w:t>
            </w:r>
          </w:p>
        </w:tc>
      </w:tr>
      <w:tr w:rsidR="004E69C3" w:rsidRPr="00F274F1" w:rsidTr="00786F3F">
        <w:trPr>
          <w:trHeight w:val="434"/>
        </w:trPr>
        <w:tc>
          <w:tcPr>
            <w:tcW w:w="3027" w:type="dxa"/>
            <w:gridSpan w:val="3"/>
            <w:shd w:val="clear" w:color="auto" w:fill="auto"/>
            <w:vAlign w:val="center"/>
          </w:tcPr>
          <w:p w:rsidR="004E69C3" w:rsidRPr="00F274F1" w:rsidRDefault="004E69C3" w:rsidP="00786F3F">
            <w:pPr>
              <w:spacing w:after="0" w:line="276" w:lineRule="auto"/>
              <w:jc w:val="center"/>
              <w:rPr>
                <w:bCs/>
                <w:sz w:val="20"/>
              </w:rPr>
            </w:pPr>
            <w:r>
              <w:rPr>
                <w:color w:val="auto"/>
                <w:sz w:val="20"/>
                <w:szCs w:val="20"/>
              </w:rPr>
              <w:t>Salzsäure (</w:t>
            </w:r>
            <w:proofErr w:type="spellStart"/>
            <w:r>
              <w:rPr>
                <w:color w:val="auto"/>
                <w:sz w:val="20"/>
                <w:szCs w:val="20"/>
              </w:rPr>
              <w:t>konz</w:t>
            </w:r>
            <w:proofErr w:type="spellEnd"/>
            <w:r>
              <w:rPr>
                <w:color w:val="auto"/>
                <w:sz w:val="20"/>
                <w:szCs w:val="20"/>
              </w:rPr>
              <w:t>.)</w:t>
            </w:r>
          </w:p>
        </w:tc>
        <w:tc>
          <w:tcPr>
            <w:tcW w:w="3177" w:type="dxa"/>
            <w:gridSpan w:val="3"/>
            <w:shd w:val="clear" w:color="auto" w:fill="auto"/>
            <w:vAlign w:val="center"/>
          </w:tcPr>
          <w:p w:rsidR="004E69C3" w:rsidRPr="00F274F1" w:rsidRDefault="004E69C3" w:rsidP="00786F3F">
            <w:pPr>
              <w:pStyle w:val="Beschriftung"/>
              <w:spacing w:after="0"/>
              <w:jc w:val="center"/>
              <w:rPr>
                <w:sz w:val="20"/>
              </w:rPr>
            </w:pPr>
            <w:r w:rsidRPr="00F274F1">
              <w:rPr>
                <w:sz w:val="20"/>
              </w:rPr>
              <w:t xml:space="preserve">H: </w:t>
            </w:r>
            <w:r>
              <w:t>314, 335, 290</w:t>
            </w:r>
          </w:p>
        </w:tc>
        <w:tc>
          <w:tcPr>
            <w:tcW w:w="3118" w:type="dxa"/>
            <w:gridSpan w:val="3"/>
            <w:shd w:val="clear" w:color="auto" w:fill="auto"/>
            <w:vAlign w:val="center"/>
          </w:tcPr>
          <w:p w:rsidR="004E69C3" w:rsidRPr="00F274F1" w:rsidRDefault="004E69C3" w:rsidP="00786F3F">
            <w:pPr>
              <w:pStyle w:val="Beschriftung"/>
              <w:spacing w:after="0"/>
              <w:jc w:val="center"/>
              <w:rPr>
                <w:sz w:val="20"/>
              </w:rPr>
            </w:pPr>
            <w:r w:rsidRPr="00F274F1">
              <w:rPr>
                <w:sz w:val="20"/>
              </w:rPr>
              <w:t xml:space="preserve">P: </w:t>
            </w:r>
            <w:r>
              <w:t>280, 301+330+331, 305+351+338</w:t>
            </w:r>
          </w:p>
        </w:tc>
      </w:tr>
      <w:tr w:rsidR="004E69C3" w:rsidRPr="00F274F1" w:rsidTr="00786F3F">
        <w:trPr>
          <w:trHeight w:val="434"/>
        </w:trPr>
        <w:tc>
          <w:tcPr>
            <w:tcW w:w="3027" w:type="dxa"/>
            <w:gridSpan w:val="3"/>
            <w:shd w:val="clear" w:color="auto" w:fill="auto"/>
            <w:vAlign w:val="center"/>
          </w:tcPr>
          <w:p w:rsidR="004E69C3" w:rsidRDefault="004E69C3" w:rsidP="00786F3F">
            <w:pPr>
              <w:spacing w:after="0" w:line="276" w:lineRule="auto"/>
              <w:jc w:val="center"/>
              <w:rPr>
                <w:color w:val="auto"/>
                <w:sz w:val="20"/>
                <w:szCs w:val="20"/>
              </w:rPr>
            </w:pPr>
            <w:r>
              <w:rPr>
                <w:color w:val="auto"/>
                <w:sz w:val="20"/>
                <w:szCs w:val="20"/>
              </w:rPr>
              <w:t>Ammoniakwasser (</w:t>
            </w:r>
            <w:proofErr w:type="spellStart"/>
            <w:r>
              <w:rPr>
                <w:color w:val="auto"/>
                <w:sz w:val="20"/>
                <w:szCs w:val="20"/>
              </w:rPr>
              <w:t>konz</w:t>
            </w:r>
            <w:proofErr w:type="spellEnd"/>
            <w:r>
              <w:rPr>
                <w:color w:val="auto"/>
                <w:sz w:val="20"/>
                <w:szCs w:val="20"/>
              </w:rPr>
              <w:t>.)</w:t>
            </w:r>
          </w:p>
        </w:tc>
        <w:tc>
          <w:tcPr>
            <w:tcW w:w="3177" w:type="dxa"/>
            <w:gridSpan w:val="3"/>
            <w:shd w:val="clear" w:color="auto" w:fill="auto"/>
            <w:vAlign w:val="center"/>
          </w:tcPr>
          <w:p w:rsidR="004E69C3" w:rsidRPr="00F274F1" w:rsidRDefault="004E69C3" w:rsidP="00786F3F">
            <w:pPr>
              <w:pStyle w:val="Beschriftung"/>
              <w:spacing w:after="0"/>
              <w:jc w:val="center"/>
              <w:rPr>
                <w:sz w:val="20"/>
              </w:rPr>
            </w:pPr>
            <w:r>
              <w:rPr>
                <w:sz w:val="20"/>
              </w:rPr>
              <w:t>H: 314, 335, 400</w:t>
            </w:r>
          </w:p>
        </w:tc>
        <w:tc>
          <w:tcPr>
            <w:tcW w:w="3118" w:type="dxa"/>
            <w:gridSpan w:val="3"/>
            <w:shd w:val="clear" w:color="auto" w:fill="auto"/>
            <w:vAlign w:val="center"/>
          </w:tcPr>
          <w:p w:rsidR="004E69C3" w:rsidRPr="00F274F1" w:rsidRDefault="004E69C3" w:rsidP="00786F3F">
            <w:pPr>
              <w:pStyle w:val="Beschriftung"/>
              <w:spacing w:after="0"/>
              <w:jc w:val="center"/>
              <w:rPr>
                <w:sz w:val="20"/>
              </w:rPr>
            </w:pPr>
            <w:r>
              <w:rPr>
                <w:sz w:val="20"/>
              </w:rPr>
              <w:t>P: 261, 273, 305+351+338, 310</w:t>
            </w:r>
          </w:p>
        </w:tc>
      </w:tr>
      <w:tr w:rsidR="004E69C3" w:rsidRPr="00F274F1" w:rsidTr="00786F3F">
        <w:tc>
          <w:tcPr>
            <w:tcW w:w="1009" w:type="dxa"/>
            <w:tcBorders>
              <w:top w:val="single" w:sz="8" w:space="0" w:color="4F81BD"/>
              <w:left w:val="single" w:sz="8" w:space="0" w:color="4F81BD"/>
              <w:bottom w:val="single" w:sz="8" w:space="0" w:color="4F81BD"/>
            </w:tcBorders>
            <w:shd w:val="clear" w:color="auto" w:fill="auto"/>
            <w:vAlign w:val="center"/>
          </w:tcPr>
          <w:p w:rsidR="004E69C3" w:rsidRPr="00F274F1" w:rsidRDefault="004E69C3" w:rsidP="00786F3F">
            <w:pPr>
              <w:spacing w:after="0"/>
              <w:jc w:val="center"/>
              <w:rPr>
                <w:b/>
                <w:bCs/>
              </w:rPr>
            </w:pPr>
            <w:r>
              <w:rPr>
                <w:b/>
                <w:noProof/>
                <w:lang w:eastAsia="de-DE"/>
              </w:rPr>
              <w:drawing>
                <wp:inline distT="0" distB="0" distL="0" distR="0">
                  <wp:extent cx="504825" cy="504825"/>
                  <wp:effectExtent l="0" t="0" r="9525" b="9525"/>
                  <wp:docPr id="11" name="Grafik 11"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tze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9C3" w:rsidRPr="00F274F1" w:rsidRDefault="004E69C3" w:rsidP="00786F3F">
            <w:pPr>
              <w:spacing w:after="0"/>
              <w:jc w:val="center"/>
            </w:pPr>
            <w:r>
              <w:rPr>
                <w:noProof/>
                <w:lang w:eastAsia="de-DE"/>
              </w:rPr>
              <w:drawing>
                <wp:inline distT="0" distB="0" distL="0" distR="0">
                  <wp:extent cx="504825" cy="504825"/>
                  <wp:effectExtent l="0" t="0" r="9525" b="9525"/>
                  <wp:docPr id="10" name="Grafik 10"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förder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9C3" w:rsidRPr="00F274F1" w:rsidRDefault="004E69C3" w:rsidP="00786F3F">
            <w:pPr>
              <w:spacing w:after="0"/>
              <w:jc w:val="center"/>
            </w:pPr>
            <w:r>
              <w:rPr>
                <w:noProof/>
                <w:lang w:eastAsia="de-DE"/>
              </w:rPr>
              <w:drawing>
                <wp:inline distT="0" distB="0" distL="0" distR="0">
                  <wp:extent cx="504825" cy="50482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9C3" w:rsidRPr="00F274F1" w:rsidRDefault="004E69C3" w:rsidP="00786F3F">
            <w:pPr>
              <w:spacing w:after="0"/>
              <w:jc w:val="center"/>
            </w:pPr>
            <w:r>
              <w:rPr>
                <w:noProof/>
                <w:lang w:eastAsia="de-DE"/>
              </w:rPr>
              <w:drawing>
                <wp:inline distT="0" distB="0" distL="0" distR="0">
                  <wp:extent cx="504825" cy="50482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E69C3" w:rsidRPr="00F274F1" w:rsidRDefault="004E69C3" w:rsidP="00786F3F">
            <w:pPr>
              <w:spacing w:after="0"/>
              <w:jc w:val="center"/>
            </w:pPr>
            <w:r>
              <w:rPr>
                <w:noProof/>
                <w:lang w:eastAsia="de-DE"/>
              </w:rPr>
              <w:drawing>
                <wp:inline distT="0" distB="0" distL="0" distR="0">
                  <wp:extent cx="609600" cy="609600"/>
                  <wp:effectExtent l="0" t="0" r="0" b="0"/>
                  <wp:docPr id="7" name="Grafik 7"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flasc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E69C3" w:rsidRPr="00F274F1" w:rsidRDefault="004E69C3" w:rsidP="00786F3F">
            <w:pPr>
              <w:spacing w:after="0"/>
              <w:jc w:val="center"/>
            </w:pPr>
            <w:r>
              <w:rPr>
                <w:noProof/>
                <w:lang w:eastAsia="de-DE"/>
              </w:rPr>
              <w:drawing>
                <wp:inline distT="0" distB="0" distL="0" distR="0">
                  <wp:extent cx="504825" cy="50482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E69C3" w:rsidRPr="00F274F1" w:rsidRDefault="004E69C3" w:rsidP="00786F3F">
            <w:pPr>
              <w:spacing w:after="0"/>
              <w:jc w:val="center"/>
            </w:pPr>
            <w:r>
              <w:rPr>
                <w:noProof/>
                <w:lang w:eastAsia="de-DE"/>
              </w:rPr>
              <w:drawing>
                <wp:inline distT="0" distB="0" distL="0" distR="0">
                  <wp:extent cx="504825" cy="50482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9C3" w:rsidRPr="00F274F1" w:rsidRDefault="004E69C3" w:rsidP="00786F3F">
            <w:pPr>
              <w:spacing w:after="0"/>
              <w:jc w:val="center"/>
            </w:pPr>
            <w:r>
              <w:rPr>
                <w:noProof/>
                <w:lang w:eastAsia="de-DE"/>
              </w:rPr>
              <w:drawing>
                <wp:inline distT="0" distB="0" distL="0" distR="0">
                  <wp:extent cx="504825" cy="504825"/>
                  <wp:effectExtent l="0" t="0" r="9525" b="9525"/>
                  <wp:docPr id="4" name="Grafik 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ize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E69C3" w:rsidRPr="00F274F1" w:rsidRDefault="004E69C3" w:rsidP="00786F3F">
            <w:pPr>
              <w:spacing w:after="0"/>
              <w:jc w:val="center"/>
            </w:pPr>
            <w:r>
              <w:rPr>
                <w:noProof/>
                <w:lang w:eastAsia="de-DE"/>
              </w:rPr>
              <w:drawing>
                <wp:inline distT="0" distB="0" distL="0" distR="0">
                  <wp:extent cx="581025" cy="581025"/>
                  <wp:effectExtent l="0" t="0" r="9525" b="9525"/>
                  <wp:docPr id="3" name="Grafik 3"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mweltgefah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r>
    </w:tbl>
    <w:p w:rsidR="004E69C3" w:rsidRPr="00F274F1" w:rsidRDefault="004E69C3" w:rsidP="004E69C3">
      <w:pPr>
        <w:tabs>
          <w:tab w:val="left" w:pos="1701"/>
          <w:tab w:val="left" w:pos="1985"/>
        </w:tabs>
        <w:ind w:left="1980" w:hanging="1980"/>
      </w:pPr>
    </w:p>
    <w:p w:rsidR="004E69C3" w:rsidRPr="00F274F1" w:rsidRDefault="004E69C3" w:rsidP="004E69C3">
      <w:pPr>
        <w:tabs>
          <w:tab w:val="left" w:pos="1701"/>
          <w:tab w:val="left" w:pos="1985"/>
        </w:tabs>
        <w:ind w:left="1980" w:hanging="1980"/>
      </w:pPr>
      <w:r w:rsidRPr="00F274F1">
        <w:t xml:space="preserve">Materialien: </w:t>
      </w:r>
      <w:r w:rsidRPr="00F274F1">
        <w:tab/>
      </w:r>
      <w:r w:rsidRPr="00F274F1">
        <w:tab/>
      </w:r>
      <w:r>
        <w:t>2 Waschflaschen, 2 Gummigebläse, kurze Gummischläuche, Stativ, Klemme, Muffe, T-Stück, Trockenrohr mit Olive</w:t>
      </w:r>
    </w:p>
    <w:p w:rsidR="004E69C3" w:rsidRPr="00F274F1" w:rsidRDefault="004E69C3" w:rsidP="004E69C3">
      <w:pPr>
        <w:tabs>
          <w:tab w:val="left" w:pos="1701"/>
          <w:tab w:val="left" w:pos="1985"/>
        </w:tabs>
        <w:ind w:left="1980" w:hanging="1980"/>
      </w:pPr>
      <w:r w:rsidRPr="00F274F1">
        <w:t>Chemikalien:</w:t>
      </w:r>
      <w:r w:rsidRPr="00F274F1">
        <w:tab/>
      </w:r>
      <w:r w:rsidRPr="00F274F1">
        <w:tab/>
      </w:r>
      <w:r>
        <w:t>Salzsäure (</w:t>
      </w:r>
      <w:proofErr w:type="spellStart"/>
      <w:r>
        <w:t>konz</w:t>
      </w:r>
      <w:proofErr w:type="spellEnd"/>
      <w:r>
        <w:t>.), Ammoniakwasser (</w:t>
      </w:r>
      <w:proofErr w:type="spellStart"/>
      <w:r>
        <w:t>konz</w:t>
      </w:r>
      <w:proofErr w:type="spellEnd"/>
      <w:r>
        <w:t>.)</w:t>
      </w:r>
    </w:p>
    <w:p w:rsidR="004E69C3" w:rsidRPr="00F274F1" w:rsidRDefault="004E69C3" w:rsidP="004E69C3">
      <w:pPr>
        <w:tabs>
          <w:tab w:val="left" w:pos="1701"/>
          <w:tab w:val="left" w:pos="1985"/>
        </w:tabs>
        <w:ind w:left="1980" w:hanging="1980"/>
      </w:pPr>
      <w:r w:rsidRPr="00F274F1">
        <w:t xml:space="preserve">Durchführung: </w:t>
      </w:r>
      <w:r w:rsidRPr="00F274F1">
        <w:tab/>
      </w:r>
      <w:r w:rsidRPr="00F274F1">
        <w:tab/>
      </w:r>
      <w:r w:rsidRPr="00F274F1">
        <w:tab/>
      </w:r>
      <w:r>
        <w:t>Die Apparatur wird wie in Abbildung 1 im Abzug aufgebaut. Eine Waschflasche wird mit konzentrierter Salzsäure und die andere mit konzentriertem Ammoniakwasser wenig befüllt. Dann wird mit den Gummigebläsen Luft in die Waschflaschen gedrückt.</w:t>
      </w:r>
    </w:p>
    <w:p w:rsidR="004E69C3" w:rsidRPr="00F274F1" w:rsidRDefault="004E69C3" w:rsidP="004E69C3">
      <w:pPr>
        <w:tabs>
          <w:tab w:val="left" w:pos="1701"/>
          <w:tab w:val="left" w:pos="1985"/>
        </w:tabs>
        <w:ind w:left="1980" w:hanging="1980"/>
      </w:pPr>
      <w:r w:rsidRPr="00F274F1">
        <w:t>Beobachtung:</w:t>
      </w:r>
      <w:r w:rsidRPr="00F274F1">
        <w:tab/>
      </w:r>
      <w:r w:rsidRPr="00F274F1">
        <w:tab/>
      </w:r>
      <w:r w:rsidRPr="00F274F1">
        <w:tab/>
      </w:r>
      <w:r>
        <w:t>Aus dem Trockenrohr entsteigt Rauch.</w:t>
      </w:r>
    </w:p>
    <w:p w:rsidR="004E69C3" w:rsidRPr="00F274F1" w:rsidRDefault="004E69C3" w:rsidP="004E69C3">
      <w:pPr>
        <w:tabs>
          <w:tab w:val="left" w:pos="1701"/>
          <w:tab w:val="left" w:pos="1985"/>
        </w:tabs>
      </w:pPr>
      <w:r w:rsidRPr="00F274F1">
        <w:t xml:space="preserve"> </w:t>
      </w:r>
    </w:p>
    <w:p w:rsidR="004E69C3" w:rsidRPr="00F274F1" w:rsidRDefault="004E69C3" w:rsidP="004E69C3">
      <w:pPr>
        <w:tabs>
          <w:tab w:val="left" w:pos="1701"/>
          <w:tab w:val="left" w:pos="1985"/>
        </w:tabs>
        <w:ind w:left="1980" w:hanging="1980"/>
        <w:jc w:val="center"/>
      </w:pPr>
      <w:r>
        <w:rPr>
          <w:noProof/>
          <w:lang w:eastAsia="de-DE"/>
        </w:rPr>
        <w:lastRenderedPageBreak/>
        <w:drawing>
          <wp:inline distT="0" distB="0" distL="0" distR="0">
            <wp:extent cx="2409825" cy="3543300"/>
            <wp:effectExtent l="0" t="0" r="9525" b="0"/>
            <wp:docPr id="2" name="Grafik 2" descr="SalmiakAuf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lmiakAufba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3543300"/>
                    </a:xfrm>
                    <a:prstGeom prst="rect">
                      <a:avLst/>
                    </a:prstGeom>
                    <a:noFill/>
                    <a:ln>
                      <a:noFill/>
                    </a:ln>
                  </pic:spPr>
                </pic:pic>
              </a:graphicData>
            </a:graphic>
          </wp:inline>
        </w:drawing>
      </w:r>
      <w:r>
        <w:tab/>
      </w:r>
      <w:r>
        <w:tab/>
      </w:r>
      <w:r>
        <w:rPr>
          <w:noProof/>
          <w:lang w:eastAsia="de-DE"/>
        </w:rPr>
        <w:drawing>
          <wp:inline distT="0" distB="0" distL="0" distR="0">
            <wp:extent cx="2105025" cy="3505200"/>
            <wp:effectExtent l="0" t="0" r="9525" b="0"/>
            <wp:docPr id="1" name="Grafik 1" descr="SalmiakRa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lmiakRau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3505200"/>
                    </a:xfrm>
                    <a:prstGeom prst="rect">
                      <a:avLst/>
                    </a:prstGeom>
                    <a:noFill/>
                    <a:ln>
                      <a:noFill/>
                    </a:ln>
                  </pic:spPr>
                </pic:pic>
              </a:graphicData>
            </a:graphic>
          </wp:inline>
        </w:drawing>
      </w:r>
    </w:p>
    <w:p w:rsidR="004E69C3" w:rsidRPr="00A779E5" w:rsidRDefault="004E69C3" w:rsidP="004E69C3">
      <w:pPr>
        <w:pStyle w:val="Beschriftung"/>
        <w:jc w:val="center"/>
        <w:rPr>
          <w:noProof/>
        </w:rPr>
      </w:pPr>
      <w:r w:rsidRPr="00F274F1">
        <w:t xml:space="preserve">Abb. </w:t>
      </w:r>
      <w:fldSimple w:instr=" SEQ Abb. \* ARABIC ">
        <w:r w:rsidR="00443EE7">
          <w:rPr>
            <w:noProof/>
          </w:rPr>
          <w:t>1</w:t>
        </w:r>
      </w:fldSimple>
      <w:r w:rsidRPr="00F274F1">
        <w:t xml:space="preserve"> - </w:t>
      </w:r>
      <w:r>
        <w:rPr>
          <w:noProof/>
        </w:rPr>
        <w:t xml:space="preserve"> Aufbau der Apparatur</w:t>
      </w:r>
      <w:r>
        <w:rPr>
          <w:noProof/>
        </w:rPr>
        <w:tab/>
      </w:r>
      <w:r>
        <w:rPr>
          <w:noProof/>
        </w:rPr>
        <w:tab/>
      </w:r>
      <w:r>
        <w:rPr>
          <w:noProof/>
        </w:rPr>
        <w:tab/>
      </w:r>
      <w:r>
        <w:rPr>
          <w:noProof/>
        </w:rPr>
        <w:tab/>
      </w:r>
      <w:r w:rsidRPr="00F274F1">
        <w:t xml:space="preserve">Abb. 2 - </w:t>
      </w:r>
      <w:r>
        <w:rPr>
          <w:noProof/>
        </w:rPr>
        <w:t xml:space="preserve"> Rauchentwicklung</w:t>
      </w:r>
    </w:p>
    <w:p w:rsidR="004E69C3" w:rsidRDefault="004E69C3" w:rsidP="004E69C3">
      <w:pPr>
        <w:tabs>
          <w:tab w:val="left" w:pos="1843"/>
        </w:tabs>
        <w:ind w:left="1843" w:hanging="1843"/>
      </w:pPr>
      <w:r w:rsidRPr="00F274F1">
        <w:t>Deutung:</w:t>
      </w:r>
      <w:r w:rsidRPr="00F274F1">
        <w:tab/>
      </w:r>
      <w:r>
        <w:t xml:space="preserve">Bei der Reaktion handelt es sich um eine </w:t>
      </w:r>
      <w:proofErr w:type="spellStart"/>
      <w:r>
        <w:t>Brönstedt</w:t>
      </w:r>
      <w:proofErr w:type="spellEnd"/>
      <w:r>
        <w:t>-Säure-Base-Reaktion. Die Reaktion findet in der Gasphase statt. Salzsäure gibt ein Proton an den gasförmigen Ammoniak ab und es entsteht Ammoniumchlorid, welches mit Luft Rauch bildet. Am Glasrohr setzt sich  Feststoff ab.</w:t>
      </w:r>
    </w:p>
    <w:p w:rsidR="004E69C3" w:rsidRPr="004E69C3" w:rsidRDefault="004E69C3" w:rsidP="004E69C3">
      <w:pPr>
        <w:tabs>
          <w:tab w:val="left" w:pos="1843"/>
        </w:tabs>
        <w:ind w:left="1843" w:hanging="1843"/>
      </w:pPr>
      <w:r>
        <w:tab/>
      </w:r>
      <w:r w:rsidRPr="004E69C3">
        <w:t>NH</w:t>
      </w:r>
      <w:r w:rsidRPr="004E69C3">
        <w:rPr>
          <w:vertAlign w:val="subscript"/>
        </w:rPr>
        <w:t>3(g)</w:t>
      </w:r>
      <w:r w:rsidRPr="004E69C3">
        <w:t xml:space="preserve"> + HCl</w:t>
      </w:r>
      <w:r w:rsidRPr="004E69C3">
        <w:rPr>
          <w:vertAlign w:val="subscript"/>
        </w:rPr>
        <w:t>(g)</w:t>
      </w:r>
      <w:r w:rsidRPr="004E69C3">
        <w:t xml:space="preserve"> → NH</w:t>
      </w:r>
      <w:r w:rsidRPr="004E69C3">
        <w:rPr>
          <w:vertAlign w:val="subscript"/>
        </w:rPr>
        <w:t>4</w:t>
      </w:r>
      <w:r w:rsidRPr="004E69C3">
        <w:t>Cl</w:t>
      </w:r>
      <w:r w:rsidRPr="004E69C3">
        <w:rPr>
          <w:vertAlign w:val="subscript"/>
        </w:rPr>
        <w:t>(s)</w:t>
      </w:r>
    </w:p>
    <w:p w:rsidR="004E69C3" w:rsidRPr="00F274F1" w:rsidRDefault="004E69C3" w:rsidP="004E69C3">
      <w:pPr>
        <w:tabs>
          <w:tab w:val="left" w:pos="1843"/>
        </w:tabs>
        <w:ind w:left="1843" w:hanging="1843"/>
      </w:pPr>
      <w:r>
        <w:t xml:space="preserve">Entsorgung: </w:t>
      </w:r>
      <w:r>
        <w:tab/>
        <w:t xml:space="preserve">Die restliche Säure und Base wird neutralisiert und in den Säure-Base-Sammelbehälter gegeben. </w:t>
      </w:r>
    </w:p>
    <w:p w:rsidR="004E69C3" w:rsidRPr="002B7CAD" w:rsidRDefault="004E69C3" w:rsidP="004E69C3">
      <w:pPr>
        <w:spacing w:line="276" w:lineRule="auto"/>
        <w:ind w:left="1843" w:hanging="1843"/>
        <w:jc w:val="left"/>
        <w:rPr>
          <w:rFonts w:eastAsia="MS Gothic"/>
          <w:b/>
          <w:bCs/>
          <w:sz w:val="28"/>
          <w:szCs w:val="28"/>
        </w:rPr>
      </w:pPr>
      <w:r w:rsidRPr="00F274F1">
        <w:t>Literatur:</w:t>
      </w:r>
      <w:r w:rsidRPr="00F274F1">
        <w:tab/>
      </w:r>
      <w:r>
        <w:rPr>
          <w:noProof/>
        </w:rPr>
        <w:t xml:space="preserve">Häusler, K. et al.(1995): </w:t>
      </w:r>
      <w:r>
        <w:rPr>
          <w:i/>
          <w:noProof/>
        </w:rPr>
        <w:t>Experimente für den Chemieunterricht</w:t>
      </w:r>
      <w:r>
        <w:rPr>
          <w:noProof/>
        </w:rPr>
        <w:t>, München: Oldenbourg, S. 122.</w:t>
      </w:r>
    </w:p>
    <w:p w:rsidR="004E69C3" w:rsidRPr="000D4CEB" w:rsidRDefault="004E69C3" w:rsidP="004E69C3">
      <w:pPr>
        <w:tabs>
          <w:tab w:val="left" w:pos="1701"/>
          <w:tab w:val="left" w:pos="1985"/>
        </w:tabs>
        <w:ind w:left="1980" w:hanging="1980"/>
        <w:rPr>
          <w:color w:val="auto"/>
        </w:rPr>
      </w:pPr>
      <w:r>
        <w:rPr>
          <w:noProof/>
          <w:lang w:eastAsia="de-DE"/>
        </w:rPr>
        <mc:AlternateContent>
          <mc:Choice Requires="wps">
            <w:drawing>
              <wp:inline distT="0" distB="0" distL="0" distR="0">
                <wp:extent cx="5873115" cy="1356360"/>
                <wp:effectExtent l="0" t="0" r="13335" b="15240"/>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5636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E69C3" w:rsidRPr="007F1917" w:rsidRDefault="004E69C3" w:rsidP="004E69C3">
                            <w:pPr>
                              <w:rPr>
                                <w:color w:val="auto"/>
                              </w:rPr>
                            </w:pPr>
                            <w:r>
                              <w:rPr>
                                <w:color w:val="auto"/>
                              </w:rPr>
                              <w:t xml:space="preserve">Der Versuch kann im Unterricht in Bezug zur Säure-Base-Theorie eingesetzt werden, um zu zeigen, dass Arrhenius‘ Theorie bei diesem Beispiel nicht anwendbar ist und dass hier die Theorie von </w:t>
                            </w:r>
                            <w:proofErr w:type="spellStart"/>
                            <w:r>
                              <w:rPr>
                                <w:color w:val="auto"/>
                              </w:rPr>
                              <w:t>Brönstedt</w:t>
                            </w:r>
                            <w:proofErr w:type="spellEnd"/>
                            <w:r>
                              <w:rPr>
                                <w:color w:val="auto"/>
                              </w:rPr>
                              <w:t xml:space="preserve"> herangezogen </w:t>
                            </w:r>
                            <w:proofErr w:type="spellStart"/>
                            <w:r>
                              <w:rPr>
                                <w:color w:val="auto"/>
                              </w:rPr>
                              <w:t>werdern</w:t>
                            </w:r>
                            <w:proofErr w:type="spellEnd"/>
                            <w:r>
                              <w:rPr>
                                <w:color w:val="auto"/>
                              </w:rPr>
                              <w:t xml:space="preserve"> muss. Außerdem verdeutlicht der Versuch, dass das Konzept von </w:t>
                            </w:r>
                            <w:proofErr w:type="spellStart"/>
                            <w:r>
                              <w:rPr>
                                <w:color w:val="auto"/>
                              </w:rPr>
                              <w:t>Brönstedt</w:t>
                            </w:r>
                            <w:proofErr w:type="spellEnd"/>
                            <w:r>
                              <w:rPr>
                                <w:color w:val="auto"/>
                              </w:rPr>
                              <w:t xml:space="preserve"> auch in der Gasphase anzuwenden ist. Es handelt sich ausschließlich um einen Lehrerversuch, der unter dem Abzug durchgeführt werden sollte. </w:t>
                            </w:r>
                          </w:p>
                        </w:txbxContent>
                      </wps:txbx>
                      <wps:bodyPr rot="0" vert="horz" wrap="square" lIns="91440" tIns="45720" rIns="91440" bIns="45720" anchor="t" anchorCtr="0" upright="1">
                        <a:noAutofit/>
                      </wps:bodyPr>
                    </wps:wsp>
                  </a:graphicData>
                </a:graphic>
              </wp:inline>
            </w:drawing>
          </mc:Choice>
          <mc:Fallback>
            <w:pict>
              <v:shape id="Textfeld 12" o:spid="_x0000_s1027" type="#_x0000_t202" style="width:462.45pt;height:1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" strokecolor="#c0504d" strokeweight="1pt">
                <v:stroke dashstyle="dash"/>
                <v:shadow color="#868686"/>
                <v:textbox>
                  <w:txbxContent>
                    <w:p w:rsidR="004E69C3" w:rsidRPr="007F1917" w:rsidRDefault="004E69C3" w:rsidP="004E69C3">
                      <w:pPr>
                        <w:rPr>
                          <w:color w:val="auto"/>
                        </w:rPr>
                      </w:pPr>
                      <w:r>
                        <w:rPr>
                          <w:color w:val="auto"/>
                        </w:rPr>
                        <w:t>Der Versuch kann im Unterricht in Bezug zur Säure-Base-Theorie eingesetzt werden, um zu zeigen, dass Arrhenius‘ Theorie bei diesem Beispiel nicht anwendbar ist und dass hier die Th</w:t>
                      </w:r>
                      <w:r>
                        <w:rPr>
                          <w:color w:val="auto"/>
                        </w:rPr>
                        <w:t>e</w:t>
                      </w:r>
                      <w:r>
                        <w:rPr>
                          <w:color w:val="auto"/>
                        </w:rPr>
                        <w:t xml:space="preserve">orie von </w:t>
                      </w:r>
                      <w:proofErr w:type="spellStart"/>
                      <w:r>
                        <w:rPr>
                          <w:color w:val="auto"/>
                        </w:rPr>
                        <w:t>Brönstedt</w:t>
                      </w:r>
                      <w:proofErr w:type="spellEnd"/>
                      <w:r>
                        <w:rPr>
                          <w:color w:val="auto"/>
                        </w:rPr>
                        <w:t xml:space="preserve"> herangezogen </w:t>
                      </w:r>
                      <w:proofErr w:type="spellStart"/>
                      <w:r>
                        <w:rPr>
                          <w:color w:val="auto"/>
                        </w:rPr>
                        <w:t>werdern</w:t>
                      </w:r>
                      <w:proofErr w:type="spellEnd"/>
                      <w:r>
                        <w:rPr>
                          <w:color w:val="auto"/>
                        </w:rPr>
                        <w:t xml:space="preserve"> muss. Außerdem verdeutlicht der Versuch, dass das Konzept von </w:t>
                      </w:r>
                      <w:proofErr w:type="spellStart"/>
                      <w:r>
                        <w:rPr>
                          <w:color w:val="auto"/>
                        </w:rPr>
                        <w:t>Brönstedt</w:t>
                      </w:r>
                      <w:proofErr w:type="spellEnd"/>
                      <w:r>
                        <w:rPr>
                          <w:color w:val="auto"/>
                        </w:rPr>
                        <w:t xml:space="preserve"> auch in der Gasphase anzuwenden ist. Es handelt sich ausschließlich um einen Le</w:t>
                      </w:r>
                      <w:r>
                        <w:rPr>
                          <w:color w:val="auto"/>
                        </w:rPr>
                        <w:t>h</w:t>
                      </w:r>
                      <w:r>
                        <w:rPr>
                          <w:color w:val="auto"/>
                        </w:rPr>
                        <w:t xml:space="preserve">rerversuch, der unter dem Abzug durchgeführt werden sollte. </w:t>
                      </w:r>
                    </w:p>
                  </w:txbxContent>
                </v:textbox>
                <w10:anchorlock/>
              </v:shape>
            </w:pict>
          </mc:Fallback>
        </mc:AlternateContent>
      </w:r>
    </w:p>
    <w:p w:rsidR="000A13E1" w:rsidRDefault="000A13E1"/>
    <w:sectPr w:rsidR="000A13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DB"/>
    <w:rsid w:val="000A13E1"/>
    <w:rsid w:val="00443EE7"/>
    <w:rsid w:val="004E69C3"/>
    <w:rsid w:val="00F65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69C3"/>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4E69C3"/>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4E69C3"/>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4E69C3"/>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4E69C3"/>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4E69C3"/>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4E69C3"/>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4E69C3"/>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4E69C3"/>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4E69C3"/>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69C3"/>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4E69C3"/>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4E69C3"/>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4E69C3"/>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4E69C3"/>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4E69C3"/>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4E69C3"/>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4E69C3"/>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4E69C3"/>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4E69C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4E69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69C3"/>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69C3"/>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4E69C3"/>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4E69C3"/>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4E69C3"/>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4E69C3"/>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4E69C3"/>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4E69C3"/>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4E69C3"/>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4E69C3"/>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4E69C3"/>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69C3"/>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4E69C3"/>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4E69C3"/>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4E69C3"/>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4E69C3"/>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4E69C3"/>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4E69C3"/>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4E69C3"/>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4E69C3"/>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4E69C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4E69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69C3"/>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2014-08-26T20:32:00Z</cp:lastPrinted>
  <dcterms:created xsi:type="dcterms:W3CDTF">2014-08-26T11:36:00Z</dcterms:created>
  <dcterms:modified xsi:type="dcterms:W3CDTF">2014-08-26T20:33:00Z</dcterms:modified>
</cp:coreProperties>
</file>