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D3F" w:rsidRDefault="00C75D3F" w:rsidP="00C75D3F">
      <w:pPr>
        <w:pStyle w:val="berschrift2"/>
        <w:numPr>
          <w:ilvl w:val="0"/>
          <w:numId w:val="0"/>
        </w:numPr>
        <w:ind w:left="576" w:hanging="576"/>
        <w:rPr>
          <w:rFonts w:cs="Cambria"/>
          <w:bCs w:val="0"/>
          <w:color w:val="1D1B11"/>
        </w:rPr>
      </w:pPr>
      <w:r w:rsidRPr="00B716E8">
        <w:rPr>
          <w:noProof/>
          <w:lang w:eastAsia="de-DE"/>
        </w:rPr>
        <w:pict>
          <v:shapetype id="_x0000_t202" coordsize="21600,21600" o:spt="202" path="m,l,21600r21600,l21600,xe">
            <v:stroke joinstyle="miter"/>
            <v:path gradientshapeok="t" o:connecttype="rect"/>
          </v:shapetype>
          <v:shape id="_x0000_s1027" type="#_x0000_t202" style="position:absolute;left:0;text-align:left;margin-left:-.05pt;margin-top:56.3pt;width:462.45pt;height:86.5pt;z-index:251660288;mso-width-relative:margin;mso-height-relative:margin" fillcolor="white [3201]" strokecolor="#4bacc6 [3208]" strokeweight="1pt">
            <v:stroke dashstyle="dash"/>
            <v:shadow color="#868686"/>
            <v:textbox style="mso-next-textbox:#_x0000_s1027">
              <w:txbxContent>
                <w:p w:rsidR="00C75D3F" w:rsidRPr="001D0B8F" w:rsidRDefault="00C75D3F" w:rsidP="00C75D3F">
                  <w:r w:rsidRPr="001D0B8F">
                    <w:rPr>
                      <w:rFonts w:cs="Cambria"/>
                      <w:bCs/>
                      <w:color w:val="1F497D"/>
                    </w:rPr>
                    <w:t>Da giftiges Schwefeldioxid entsteht, sollte der Versuc</w:t>
                  </w:r>
                  <w:r>
                    <w:rPr>
                      <w:rFonts w:cs="Cambria"/>
                      <w:bCs/>
                      <w:color w:val="1F497D"/>
                    </w:rPr>
                    <w:t>h besser unter dem Abzug durchgeführt</w:t>
                  </w:r>
                  <w:r w:rsidRPr="001D0B8F">
                    <w:rPr>
                      <w:rFonts w:cs="Cambria"/>
                      <w:bCs/>
                      <w:color w:val="1F497D"/>
                    </w:rPr>
                    <w:t xml:space="preserve"> werden. Es</w:t>
                  </w:r>
                  <w:r>
                    <w:rPr>
                      <w:rFonts w:cs="Cambria"/>
                      <w:bCs/>
                      <w:color w:val="1F497D"/>
                    </w:rPr>
                    <w:t xml:space="preserve"> we</w:t>
                  </w:r>
                  <w:r w:rsidRPr="001D0B8F">
                    <w:rPr>
                      <w:rFonts w:cs="Cambria"/>
                      <w:bCs/>
                      <w:color w:val="1F497D"/>
                    </w:rPr>
                    <w:t>rd</w:t>
                  </w:r>
                  <w:r>
                    <w:rPr>
                      <w:rFonts w:cs="Cambria"/>
                      <w:bCs/>
                      <w:color w:val="1F497D"/>
                    </w:rPr>
                    <w:t>en</w:t>
                  </w:r>
                  <w:r w:rsidRPr="001D0B8F">
                    <w:rPr>
                      <w:rFonts w:cs="Cambria"/>
                      <w:bCs/>
                      <w:color w:val="1F497D"/>
                    </w:rPr>
                    <w:t xml:space="preserve"> ein Overheadprojektor und ein Laser benötigt. Redoxreaktionen müssen bereits bekannt sein. </w:t>
                  </w:r>
                  <w:r>
                    <w:rPr>
                      <w:rFonts w:cs="Cambria"/>
                      <w:bCs/>
                      <w:color w:val="1F497D"/>
                    </w:rPr>
                    <w:t>Der Versuch hat das Lernziel, eine</w:t>
                  </w:r>
                  <w:r w:rsidRPr="001D0B8F">
                    <w:rPr>
                      <w:rFonts w:cs="Cambria"/>
                      <w:bCs/>
                      <w:color w:val="1F497D"/>
                    </w:rPr>
                    <w:t xml:space="preserve"> </w:t>
                  </w:r>
                  <w:r>
                    <w:rPr>
                      <w:rFonts w:cs="Cambria"/>
                      <w:bCs/>
                      <w:color w:val="1F497D"/>
                    </w:rPr>
                    <w:t>Charakterisierung des Schwefels vo</w:t>
                  </w:r>
                  <w:r>
                    <w:rPr>
                      <w:rFonts w:cs="Cambria"/>
                      <w:bCs/>
                      <w:color w:val="1F497D"/>
                    </w:rPr>
                    <w:t>r</w:t>
                  </w:r>
                  <w:r>
                    <w:rPr>
                      <w:rFonts w:cs="Cambria"/>
                      <w:bCs/>
                      <w:color w:val="1F497D"/>
                    </w:rPr>
                    <w:t xml:space="preserve">zunehmen: Schwefel löst sich nicht in Wasser und Schwefel kann kolloidal ausfallen. </w:t>
                  </w:r>
                </w:p>
              </w:txbxContent>
            </v:textbox>
            <w10:wrap type="square"/>
          </v:shape>
        </w:pict>
      </w:r>
      <w:bookmarkStart w:id="0" w:name="_Toc396403990"/>
      <w:r>
        <w:rPr>
          <w:rFonts w:cs="Cambria"/>
          <w:bCs w:val="0"/>
          <w:color w:val="1D1B11"/>
        </w:rPr>
        <w:t>V 3 – Sonnenuntergang: Schwefel auf der</w:t>
      </w:r>
      <w:r w:rsidRPr="001D0B8F">
        <w:rPr>
          <w:rFonts w:cs="Cambria"/>
          <w:bCs w:val="0"/>
          <w:color w:val="1D1B11"/>
        </w:rPr>
        <w:t xml:space="preserve"> Nano</w:t>
      </w:r>
      <w:r>
        <w:rPr>
          <w:rFonts w:cs="Cambria"/>
          <w:bCs w:val="0"/>
          <w:color w:val="1D1B11"/>
        </w:rPr>
        <w:t>skala</w:t>
      </w:r>
      <w:bookmarkEnd w:id="0"/>
    </w:p>
    <w:p w:rsidR="00C75D3F" w:rsidRPr="001D0B8F" w:rsidRDefault="00C75D3F" w:rsidP="00C75D3F"/>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75D3F" w:rsidRPr="009C5E28" w:rsidTr="00C64E58">
        <w:tc>
          <w:tcPr>
            <w:tcW w:w="9322" w:type="dxa"/>
            <w:gridSpan w:val="9"/>
            <w:shd w:val="clear" w:color="auto" w:fill="4F81BD"/>
            <w:vAlign w:val="center"/>
          </w:tcPr>
          <w:p w:rsidR="00C75D3F" w:rsidRPr="009C5E28" w:rsidRDefault="00C75D3F" w:rsidP="00C64E58">
            <w:pPr>
              <w:spacing w:after="0"/>
              <w:jc w:val="center"/>
              <w:rPr>
                <w:b/>
                <w:bCs/>
              </w:rPr>
            </w:pPr>
            <w:r w:rsidRPr="009C5E28">
              <w:rPr>
                <w:b/>
                <w:bCs/>
              </w:rPr>
              <w:t>Gefahrenstoffe</w:t>
            </w:r>
          </w:p>
        </w:tc>
      </w:tr>
      <w:tr w:rsidR="00C75D3F" w:rsidRPr="009C5E28" w:rsidTr="00C64E5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75D3F" w:rsidRDefault="00C75D3F" w:rsidP="00C64E58">
            <w:pPr>
              <w:autoSpaceDE w:val="0"/>
              <w:autoSpaceDN w:val="0"/>
              <w:adjustRightInd w:val="0"/>
              <w:spacing w:after="0" w:line="276" w:lineRule="auto"/>
              <w:jc w:val="center"/>
              <w:rPr>
                <w:rFonts w:ascii="Calibri" w:hAnsi="Calibri" w:cs="Calibri"/>
                <w:color w:val="auto"/>
              </w:rPr>
            </w:pPr>
            <w:r>
              <w:rPr>
                <w:rFonts w:cs="Cambria"/>
                <w:color w:val="1D1B11"/>
                <w:sz w:val="20"/>
                <w:szCs w:val="20"/>
              </w:rPr>
              <w:t>Salzsäure (5%ig)</w:t>
            </w:r>
          </w:p>
        </w:tc>
        <w:tc>
          <w:tcPr>
            <w:tcW w:w="3177" w:type="dxa"/>
            <w:gridSpan w:val="3"/>
            <w:tcBorders>
              <w:top w:val="single" w:sz="8" w:space="0" w:color="4F81BD"/>
              <w:bottom w:val="single" w:sz="8" w:space="0" w:color="4F81BD"/>
            </w:tcBorders>
            <w:shd w:val="clear" w:color="auto" w:fill="auto"/>
            <w:vAlign w:val="center"/>
          </w:tcPr>
          <w:p w:rsidR="00C75D3F" w:rsidRDefault="00C75D3F" w:rsidP="00C64E58">
            <w:pPr>
              <w:autoSpaceDE w:val="0"/>
              <w:autoSpaceDN w:val="0"/>
              <w:adjustRightInd w:val="0"/>
              <w:spacing w:after="0"/>
              <w:jc w:val="center"/>
              <w:rPr>
                <w:rFonts w:ascii="Calibri" w:hAnsi="Calibri" w:cs="Calibri"/>
                <w:color w:val="auto"/>
              </w:rPr>
            </w:pPr>
            <w:r>
              <w:rPr>
                <w:rFonts w:cs="Cambria"/>
                <w:color w:val="1D1B11"/>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75D3F" w:rsidRDefault="00C75D3F" w:rsidP="00C64E58">
            <w:pPr>
              <w:autoSpaceDE w:val="0"/>
              <w:autoSpaceDN w:val="0"/>
              <w:adjustRightInd w:val="0"/>
              <w:spacing w:after="0"/>
              <w:jc w:val="center"/>
              <w:rPr>
                <w:rFonts w:ascii="Calibri" w:hAnsi="Calibri" w:cs="Calibri"/>
                <w:color w:val="auto"/>
              </w:rPr>
            </w:pPr>
            <w:r>
              <w:rPr>
                <w:rFonts w:cs="Cambria"/>
                <w:color w:val="1D1B11"/>
                <w:sz w:val="20"/>
                <w:szCs w:val="20"/>
              </w:rPr>
              <w:t>-</w:t>
            </w:r>
          </w:p>
        </w:tc>
      </w:tr>
      <w:tr w:rsidR="00C75D3F" w:rsidRPr="009C5E28" w:rsidTr="00C64E58">
        <w:trPr>
          <w:trHeight w:val="434"/>
        </w:trPr>
        <w:tc>
          <w:tcPr>
            <w:tcW w:w="3027" w:type="dxa"/>
            <w:gridSpan w:val="3"/>
            <w:shd w:val="clear" w:color="auto" w:fill="auto"/>
            <w:vAlign w:val="center"/>
          </w:tcPr>
          <w:p w:rsidR="00C75D3F" w:rsidRDefault="00C75D3F" w:rsidP="00C64E58">
            <w:pPr>
              <w:autoSpaceDE w:val="0"/>
              <w:autoSpaceDN w:val="0"/>
              <w:adjustRightInd w:val="0"/>
              <w:spacing w:after="0" w:line="276" w:lineRule="auto"/>
              <w:jc w:val="center"/>
              <w:rPr>
                <w:rFonts w:ascii="Calibri" w:hAnsi="Calibri" w:cs="Calibri"/>
                <w:color w:val="auto"/>
              </w:rPr>
            </w:pPr>
            <w:proofErr w:type="spellStart"/>
            <w:r>
              <w:rPr>
                <w:rFonts w:cs="Cambria"/>
                <w:color w:val="auto"/>
                <w:sz w:val="20"/>
                <w:szCs w:val="20"/>
              </w:rPr>
              <w:t>Natriumthiosulfatlösung</w:t>
            </w:r>
            <w:proofErr w:type="spellEnd"/>
            <w:r>
              <w:rPr>
                <w:rFonts w:cs="Cambria"/>
                <w:color w:val="auto"/>
                <w:sz w:val="20"/>
                <w:szCs w:val="20"/>
              </w:rPr>
              <w:t xml:space="preserve"> (2%ig)</w:t>
            </w:r>
          </w:p>
        </w:tc>
        <w:tc>
          <w:tcPr>
            <w:tcW w:w="3177" w:type="dxa"/>
            <w:gridSpan w:val="3"/>
            <w:shd w:val="clear" w:color="auto" w:fill="auto"/>
            <w:vAlign w:val="center"/>
          </w:tcPr>
          <w:p w:rsidR="00C75D3F" w:rsidRDefault="00C75D3F" w:rsidP="00C64E58">
            <w:pPr>
              <w:autoSpaceDE w:val="0"/>
              <w:autoSpaceDN w:val="0"/>
              <w:adjustRightInd w:val="0"/>
              <w:spacing w:after="0" w:line="240" w:lineRule="auto"/>
              <w:jc w:val="center"/>
              <w:rPr>
                <w:rFonts w:ascii="Calibri" w:hAnsi="Calibri" w:cs="Calibri"/>
                <w:color w:val="auto"/>
              </w:rPr>
            </w:pPr>
            <w:r>
              <w:rPr>
                <w:rFonts w:cs="Cambria"/>
                <w:color w:val="auto"/>
                <w:sz w:val="20"/>
                <w:szCs w:val="20"/>
              </w:rPr>
              <w:t>-</w:t>
            </w:r>
          </w:p>
        </w:tc>
        <w:tc>
          <w:tcPr>
            <w:tcW w:w="3118" w:type="dxa"/>
            <w:gridSpan w:val="3"/>
            <w:shd w:val="clear" w:color="auto" w:fill="auto"/>
            <w:vAlign w:val="center"/>
          </w:tcPr>
          <w:p w:rsidR="00C75D3F" w:rsidRDefault="00C75D3F" w:rsidP="00C64E58">
            <w:pPr>
              <w:autoSpaceDE w:val="0"/>
              <w:autoSpaceDN w:val="0"/>
              <w:adjustRightInd w:val="0"/>
              <w:spacing w:after="0" w:line="240" w:lineRule="auto"/>
              <w:jc w:val="center"/>
              <w:rPr>
                <w:rFonts w:ascii="Calibri" w:hAnsi="Calibri" w:cs="Calibri"/>
                <w:color w:val="auto"/>
              </w:rPr>
            </w:pPr>
            <w:r>
              <w:rPr>
                <w:rFonts w:cs="Cambria"/>
                <w:color w:val="auto"/>
                <w:sz w:val="20"/>
                <w:szCs w:val="20"/>
              </w:rPr>
              <w:t>-</w:t>
            </w:r>
          </w:p>
        </w:tc>
      </w:tr>
      <w:tr w:rsidR="00C75D3F" w:rsidRPr="009C5E28" w:rsidTr="00C64E58">
        <w:tc>
          <w:tcPr>
            <w:tcW w:w="1009" w:type="dxa"/>
            <w:tcBorders>
              <w:top w:val="single" w:sz="8" w:space="0" w:color="4F81BD"/>
              <w:left w:val="single" w:sz="8" w:space="0" w:color="4F81BD"/>
              <w:bottom w:val="single" w:sz="8" w:space="0" w:color="4F81BD"/>
            </w:tcBorders>
            <w:shd w:val="clear" w:color="auto" w:fill="auto"/>
            <w:vAlign w:val="center"/>
          </w:tcPr>
          <w:p w:rsidR="00C75D3F" w:rsidRPr="009C5E28" w:rsidRDefault="00C75D3F" w:rsidP="00C64E58">
            <w:pPr>
              <w:spacing w:after="0"/>
              <w:jc w:val="center"/>
              <w:rPr>
                <w:b/>
                <w:bCs/>
              </w:rPr>
            </w:pPr>
            <w:r>
              <w:rPr>
                <w:rFonts w:ascii="Calibri" w:hAnsi="Calibri" w:cs="Calibri"/>
                <w:noProof/>
                <w:color w:val="auto"/>
                <w:lang w:eastAsia="de-DE"/>
              </w:rPr>
              <w:drawing>
                <wp:inline distT="0" distB="0" distL="0" distR="0">
                  <wp:extent cx="509270" cy="509270"/>
                  <wp:effectExtent l="19050" t="0" r="5080" b="0"/>
                  <wp:docPr id="612" name="Bild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4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4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4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4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4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5D3F" w:rsidRPr="009C5E28" w:rsidRDefault="00C75D3F" w:rsidP="00C64E58">
            <w:pPr>
              <w:spacing w:after="0"/>
              <w:jc w:val="center"/>
            </w:pPr>
            <w:r>
              <w:rPr>
                <w:rFonts w:ascii="Calibri" w:hAnsi="Calibri" w:cs="Calibri"/>
                <w:noProof/>
                <w:color w:val="auto"/>
                <w:lang w:eastAsia="de-DE"/>
              </w:rPr>
              <w:drawing>
                <wp:inline distT="0" distB="0" distL="0" distR="0">
                  <wp:extent cx="500380" cy="500380"/>
                  <wp:effectExtent l="19050" t="0" r="0" b="0"/>
                  <wp:docPr id="49" name="Bild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75D3F" w:rsidRPr="009C5E28" w:rsidRDefault="00C75D3F" w:rsidP="00C64E58">
            <w:pPr>
              <w:spacing w:after="0"/>
              <w:jc w:val="center"/>
            </w:pPr>
            <w:r>
              <w:rPr>
                <w:noProof/>
                <w:lang w:eastAsia="de-DE"/>
              </w:rPr>
              <w:drawing>
                <wp:inline distT="0" distB="0" distL="0" distR="0">
                  <wp:extent cx="504190" cy="504190"/>
                  <wp:effectExtent l="0" t="0" r="0" b="0"/>
                  <wp:docPr id="5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75D3F" w:rsidRDefault="00C75D3F" w:rsidP="00C75D3F">
      <w:pPr>
        <w:tabs>
          <w:tab w:val="left" w:pos="1701"/>
          <w:tab w:val="left" w:pos="1985"/>
        </w:tabs>
        <w:autoSpaceDE w:val="0"/>
        <w:autoSpaceDN w:val="0"/>
        <w:adjustRightInd w:val="0"/>
        <w:rPr>
          <w:rFonts w:cs="Cambria"/>
          <w:color w:val="1D1B11"/>
        </w:rPr>
      </w:pPr>
    </w:p>
    <w:p w:rsidR="00C75D3F" w:rsidRDefault="00C75D3F" w:rsidP="00C75D3F">
      <w:pPr>
        <w:tabs>
          <w:tab w:val="left" w:pos="1701"/>
          <w:tab w:val="left" w:pos="1985"/>
        </w:tabs>
        <w:autoSpaceDE w:val="0"/>
        <w:autoSpaceDN w:val="0"/>
        <w:adjustRightInd w:val="0"/>
        <w:ind w:left="1980" w:hanging="1980"/>
        <w:rPr>
          <w:rFonts w:cs="Cambria"/>
          <w:color w:val="1D1B11"/>
        </w:rPr>
      </w:pPr>
      <w:r>
        <w:rPr>
          <w:rFonts w:cs="Cambria"/>
          <w:color w:val="1D1B11"/>
        </w:rPr>
        <w:t xml:space="preserve">Materialien: </w:t>
      </w:r>
      <w:r>
        <w:rPr>
          <w:rFonts w:cs="Cambria"/>
          <w:color w:val="1D1B11"/>
        </w:rPr>
        <w:tab/>
      </w:r>
      <w:r>
        <w:rPr>
          <w:rFonts w:cs="Cambria"/>
          <w:color w:val="1D1B11"/>
        </w:rPr>
        <w:tab/>
        <w:t xml:space="preserve">Stehrundkolben, </w:t>
      </w:r>
      <w:proofErr w:type="spellStart"/>
      <w:r>
        <w:rPr>
          <w:rFonts w:cs="Cambria"/>
          <w:color w:val="1D1B11"/>
        </w:rPr>
        <w:t>Glasstab</w:t>
      </w:r>
      <w:proofErr w:type="spellEnd"/>
      <w:r>
        <w:rPr>
          <w:rFonts w:cs="Cambria"/>
          <w:color w:val="1D1B11"/>
        </w:rPr>
        <w:t xml:space="preserve">, Tropfpipette, Overheadprojektor, Laser </w:t>
      </w:r>
    </w:p>
    <w:p w:rsidR="00C75D3F" w:rsidRDefault="00C75D3F" w:rsidP="00C75D3F">
      <w:pPr>
        <w:tabs>
          <w:tab w:val="left" w:pos="1701"/>
          <w:tab w:val="left" w:pos="1985"/>
        </w:tabs>
        <w:autoSpaceDE w:val="0"/>
        <w:autoSpaceDN w:val="0"/>
        <w:adjustRightInd w:val="0"/>
        <w:ind w:left="1980" w:hanging="1980"/>
        <w:rPr>
          <w:rFonts w:cs="Cambria"/>
          <w:color w:val="1D1B11"/>
        </w:rPr>
      </w:pPr>
      <w:r>
        <w:rPr>
          <w:rFonts w:cs="Cambria"/>
          <w:color w:val="1D1B11"/>
        </w:rPr>
        <w:t>Chemikalien:</w:t>
      </w:r>
      <w:r>
        <w:rPr>
          <w:rFonts w:cs="Cambria"/>
          <w:color w:val="1D1B11"/>
        </w:rPr>
        <w:tab/>
      </w:r>
      <w:r>
        <w:rPr>
          <w:rFonts w:cs="Cambria"/>
          <w:color w:val="1D1B11"/>
        </w:rPr>
        <w:tab/>
      </w:r>
      <w:proofErr w:type="spellStart"/>
      <w:r>
        <w:rPr>
          <w:rFonts w:cs="Cambria"/>
          <w:color w:val="1D1B11"/>
        </w:rPr>
        <w:t>Natriumthiosulfatlösung</w:t>
      </w:r>
      <w:proofErr w:type="spellEnd"/>
      <w:r>
        <w:rPr>
          <w:rFonts w:cs="Cambria"/>
          <w:color w:val="1D1B11"/>
        </w:rPr>
        <w:t>, Salzsäure</w:t>
      </w:r>
    </w:p>
    <w:p w:rsidR="00C75D3F" w:rsidRDefault="00C75D3F" w:rsidP="00C75D3F">
      <w:pPr>
        <w:tabs>
          <w:tab w:val="left" w:pos="1701"/>
          <w:tab w:val="left" w:pos="1985"/>
        </w:tabs>
        <w:autoSpaceDE w:val="0"/>
        <w:autoSpaceDN w:val="0"/>
        <w:adjustRightInd w:val="0"/>
        <w:ind w:left="1980" w:hanging="1980"/>
        <w:rPr>
          <w:rFonts w:cs="Cambria"/>
          <w:color w:val="1D1B11"/>
        </w:rPr>
      </w:pPr>
      <w:r>
        <w:rPr>
          <w:rFonts w:cs="Cambria"/>
          <w:color w:val="1D1B11"/>
        </w:rPr>
        <w:t xml:space="preserve">Durchführung: </w:t>
      </w:r>
      <w:r>
        <w:rPr>
          <w:rFonts w:cs="Cambria"/>
          <w:color w:val="1D1B11"/>
        </w:rPr>
        <w:tab/>
      </w:r>
      <w:r>
        <w:rPr>
          <w:rFonts w:cs="Cambria"/>
          <w:color w:val="1D1B11"/>
        </w:rPr>
        <w:tab/>
        <w:t xml:space="preserve">Dieser Versuch sollte besser unter dem Abzug stattfinden. Ein Rundkolben wird  zur Hälfte mit </w:t>
      </w:r>
      <w:proofErr w:type="spellStart"/>
      <w:r>
        <w:rPr>
          <w:rFonts w:cs="Cambria"/>
          <w:color w:val="1D1B11"/>
        </w:rPr>
        <w:t>Natriumthiosulfatlösung</w:t>
      </w:r>
      <w:proofErr w:type="spellEnd"/>
      <w:r>
        <w:rPr>
          <w:rFonts w:cs="Cambria"/>
          <w:color w:val="1D1B11"/>
        </w:rPr>
        <w:t xml:space="preserve"> gefüllt und auf einen Ove</w:t>
      </w:r>
      <w:r>
        <w:rPr>
          <w:rFonts w:cs="Cambria"/>
          <w:color w:val="1D1B11"/>
        </w:rPr>
        <w:t>r</w:t>
      </w:r>
      <w:r>
        <w:rPr>
          <w:rFonts w:cs="Cambria"/>
          <w:color w:val="1D1B11"/>
        </w:rPr>
        <w:t xml:space="preserve">headprojektor gestellt. Dann wird mit einer Tropfpipette die verdünnte Salzsäure in den Rundkolben getropft und mit dem </w:t>
      </w:r>
      <w:proofErr w:type="spellStart"/>
      <w:r>
        <w:rPr>
          <w:rFonts w:cs="Cambria"/>
          <w:color w:val="1D1B11"/>
        </w:rPr>
        <w:t>Glasstab</w:t>
      </w:r>
      <w:proofErr w:type="spellEnd"/>
      <w:r>
        <w:rPr>
          <w:rFonts w:cs="Cambria"/>
          <w:color w:val="1D1B11"/>
        </w:rPr>
        <w:t xml:space="preserve"> umgerührt. Mit einem Laser wird bei der ersten Trübung durch die Lösung geleuchtet. </w:t>
      </w:r>
    </w:p>
    <w:p w:rsidR="00C75D3F" w:rsidRDefault="00C75D3F" w:rsidP="00C75D3F">
      <w:pPr>
        <w:keepNext/>
        <w:tabs>
          <w:tab w:val="left" w:pos="1701"/>
          <w:tab w:val="left" w:pos="1985"/>
        </w:tabs>
        <w:ind w:left="1980" w:hanging="1980"/>
        <w:rPr>
          <w:rFonts w:cs="Cambria"/>
          <w:color w:val="1D1B11"/>
        </w:rPr>
      </w:pPr>
      <w:r>
        <w:rPr>
          <w:rFonts w:cs="Cambria"/>
          <w:color w:val="1D1B11"/>
        </w:rPr>
        <w:lastRenderedPageBreak/>
        <w:t>Beobachtung:</w:t>
      </w:r>
      <w:r>
        <w:rPr>
          <w:rFonts w:cs="Cambria"/>
          <w:color w:val="1D1B11"/>
        </w:rPr>
        <w:tab/>
      </w:r>
      <w:r>
        <w:rPr>
          <w:rFonts w:cs="Cambria"/>
          <w:color w:val="1D1B11"/>
        </w:rPr>
        <w:tab/>
        <w:t xml:space="preserve">Zunächst trübt sich die Lösung leicht. Wenn mit dem Laserstrahl durch die Lösung geleuchtet wird, kann der Strahl gesehen werden. Nach und nach trübt sich die Lösung immer mehr und färbt sich von </w:t>
      </w:r>
      <w:proofErr w:type="spellStart"/>
      <w:r>
        <w:rPr>
          <w:rFonts w:cs="Cambria"/>
          <w:color w:val="1D1B11"/>
        </w:rPr>
        <w:t>milchigweiß</w:t>
      </w:r>
      <w:proofErr w:type="spellEnd"/>
      <w:r>
        <w:rPr>
          <w:rFonts w:cs="Cambria"/>
          <w:color w:val="1D1B11"/>
        </w:rPr>
        <w:t xml:space="preserve"> zu gelb. Wenn die Lösung länger stehen gelassen wird, wird sie wieder klar und der Schwefel setzt sich unten ab.     </w:t>
      </w:r>
    </w:p>
    <w:p w:rsidR="00C75D3F" w:rsidRDefault="00C75D3F" w:rsidP="00C75D3F">
      <w:pPr>
        <w:keepNext/>
        <w:tabs>
          <w:tab w:val="left" w:pos="1701"/>
          <w:tab w:val="left" w:pos="1985"/>
        </w:tabs>
        <w:ind w:left="1980" w:hanging="1980"/>
        <w:rPr>
          <w:rFonts w:cs="Cambria"/>
          <w:color w:val="1D1B11"/>
        </w:rPr>
      </w:pPr>
      <w:r>
        <w:rPr>
          <w:rFonts w:cs="Cambria"/>
          <w:noProof/>
          <w:color w:val="1D1B11"/>
          <w:lang w:eastAsia="de-DE"/>
        </w:rPr>
        <w:drawing>
          <wp:anchor distT="0" distB="0" distL="114300" distR="114300" simplePos="0" relativeHeight="251663360" behindDoc="0" locked="0" layoutInCell="1" allowOverlap="1">
            <wp:simplePos x="0" y="0"/>
            <wp:positionH relativeFrom="column">
              <wp:posOffset>2694743</wp:posOffset>
            </wp:positionH>
            <wp:positionV relativeFrom="paragraph">
              <wp:posOffset>217662</wp:posOffset>
            </wp:positionV>
            <wp:extent cx="3665636" cy="2207172"/>
            <wp:effectExtent l="19050" t="0" r="0" b="0"/>
            <wp:wrapNone/>
            <wp:docPr id="2" name="Bild 13" descr="C:\Users\noraa\Documents\SVP Chemie\Schwefel\kolloidaler effekt 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aa\Documents\SVP Chemie\Schwefel\kolloidaler effekt RG.png"/>
                    <pic:cNvPicPr>
                      <a:picLocks noChangeAspect="1" noChangeArrowheads="1"/>
                    </pic:cNvPicPr>
                  </pic:nvPicPr>
                  <pic:blipFill>
                    <a:blip r:embed="rId14" cstate="print"/>
                    <a:srcRect/>
                    <a:stretch>
                      <a:fillRect/>
                    </a:stretch>
                  </pic:blipFill>
                  <pic:spPr bwMode="auto">
                    <a:xfrm>
                      <a:off x="0" y="0"/>
                      <a:ext cx="3665636" cy="2207172"/>
                    </a:xfrm>
                    <a:prstGeom prst="rect">
                      <a:avLst/>
                    </a:prstGeom>
                    <a:noFill/>
                    <a:ln w="9525">
                      <a:noFill/>
                      <a:miter lim="800000"/>
                      <a:headEnd/>
                      <a:tailEnd/>
                    </a:ln>
                  </pic:spPr>
                </pic:pic>
              </a:graphicData>
            </a:graphic>
          </wp:anchor>
        </w:drawing>
      </w:r>
    </w:p>
    <w:p w:rsidR="00C75D3F" w:rsidRDefault="00C75D3F" w:rsidP="00C75D3F">
      <w:pPr>
        <w:keepNext/>
        <w:tabs>
          <w:tab w:val="left" w:pos="1701"/>
          <w:tab w:val="left" w:pos="1985"/>
        </w:tabs>
        <w:ind w:left="1980" w:hanging="1980"/>
        <w:rPr>
          <w:rFonts w:cs="Cambria"/>
          <w:color w:val="1D1B11"/>
        </w:rPr>
      </w:pPr>
      <w:r>
        <w:rPr>
          <w:rFonts w:cs="Cambria"/>
          <w:noProof/>
          <w:color w:val="1D1B11"/>
          <w:lang w:eastAsia="de-DE"/>
        </w:rPr>
        <w:drawing>
          <wp:anchor distT="0" distB="0" distL="114300" distR="114300" simplePos="0" relativeHeight="251661312" behindDoc="0" locked="0" layoutInCell="1" allowOverlap="1">
            <wp:simplePos x="0" y="0"/>
            <wp:positionH relativeFrom="column">
              <wp:posOffset>-563880</wp:posOffset>
            </wp:positionH>
            <wp:positionV relativeFrom="paragraph">
              <wp:posOffset>211455</wp:posOffset>
            </wp:positionV>
            <wp:extent cx="2216785" cy="1470660"/>
            <wp:effectExtent l="0" t="381000" r="0" b="358140"/>
            <wp:wrapNone/>
            <wp:docPr id="11" name="Bild 11" descr="C:\Users\noraa\Documents\SVP Chemie\Schwefel\sonnenuntergang 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aa\Documents\SVP Chemie\Schwefel\sonnenuntergang gelb.png"/>
                    <pic:cNvPicPr>
                      <a:picLocks noChangeAspect="1" noChangeArrowheads="1"/>
                    </pic:cNvPicPr>
                  </pic:nvPicPr>
                  <pic:blipFill>
                    <a:blip r:embed="rId15" cstate="print"/>
                    <a:srcRect/>
                    <a:stretch>
                      <a:fillRect/>
                    </a:stretch>
                  </pic:blipFill>
                  <pic:spPr bwMode="auto">
                    <a:xfrm rot="16200000">
                      <a:off x="0" y="0"/>
                      <a:ext cx="2216785" cy="1470660"/>
                    </a:xfrm>
                    <a:prstGeom prst="rect">
                      <a:avLst/>
                    </a:prstGeom>
                    <a:noFill/>
                    <a:ln w="9525">
                      <a:noFill/>
                      <a:miter lim="800000"/>
                      <a:headEnd/>
                      <a:tailEnd/>
                    </a:ln>
                  </pic:spPr>
                </pic:pic>
              </a:graphicData>
            </a:graphic>
          </wp:anchor>
        </w:drawing>
      </w:r>
      <w:r>
        <w:rPr>
          <w:rFonts w:cs="Cambria"/>
          <w:noProof/>
          <w:color w:val="1D1B11"/>
          <w:lang w:eastAsia="de-DE"/>
        </w:rPr>
        <w:drawing>
          <wp:anchor distT="0" distB="0" distL="114300" distR="114300" simplePos="0" relativeHeight="251662336" behindDoc="0" locked="0" layoutInCell="1" allowOverlap="1">
            <wp:simplePos x="0" y="0"/>
            <wp:positionH relativeFrom="column">
              <wp:posOffset>870868</wp:posOffset>
            </wp:positionH>
            <wp:positionV relativeFrom="paragraph">
              <wp:posOffset>229041</wp:posOffset>
            </wp:positionV>
            <wp:extent cx="2213104" cy="1442523"/>
            <wp:effectExtent l="0" t="381000" r="0" b="367227"/>
            <wp:wrapNone/>
            <wp:docPr id="12" name="Bild 12" descr="C:\Users\noraa\Documents\SVP Chemie\Schwefel\sonnenuntergang hell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a\Documents\SVP Chemie\Schwefel\sonnenuntergang hellgelb.png"/>
                    <pic:cNvPicPr>
                      <a:picLocks noChangeAspect="1" noChangeArrowheads="1"/>
                    </pic:cNvPicPr>
                  </pic:nvPicPr>
                  <pic:blipFill>
                    <a:blip r:embed="rId16" cstate="print"/>
                    <a:srcRect/>
                    <a:stretch>
                      <a:fillRect/>
                    </a:stretch>
                  </pic:blipFill>
                  <pic:spPr bwMode="auto">
                    <a:xfrm rot="16200000">
                      <a:off x="0" y="0"/>
                      <a:ext cx="2221941" cy="1448283"/>
                    </a:xfrm>
                    <a:prstGeom prst="rect">
                      <a:avLst/>
                    </a:prstGeom>
                    <a:noFill/>
                    <a:ln w="9525">
                      <a:noFill/>
                      <a:miter lim="800000"/>
                      <a:headEnd/>
                      <a:tailEnd/>
                    </a:ln>
                  </pic:spPr>
                </pic:pic>
              </a:graphicData>
            </a:graphic>
          </wp:anchor>
        </w:drawing>
      </w:r>
    </w:p>
    <w:p w:rsidR="00C75D3F" w:rsidRDefault="00C75D3F" w:rsidP="00C75D3F">
      <w:pPr>
        <w:keepNext/>
        <w:tabs>
          <w:tab w:val="left" w:pos="1701"/>
          <w:tab w:val="left" w:pos="1985"/>
        </w:tabs>
        <w:ind w:left="1980" w:hanging="1980"/>
        <w:rPr>
          <w:rFonts w:cs="Cambria"/>
          <w:color w:val="1D1B11"/>
        </w:rPr>
      </w:pPr>
    </w:p>
    <w:p w:rsidR="00C75D3F" w:rsidRDefault="00C75D3F" w:rsidP="00C75D3F">
      <w:pPr>
        <w:keepNext/>
        <w:tabs>
          <w:tab w:val="left" w:pos="1701"/>
          <w:tab w:val="left" w:pos="1985"/>
        </w:tabs>
        <w:ind w:left="1980" w:hanging="1980"/>
        <w:rPr>
          <w:rFonts w:cs="Cambria"/>
          <w:color w:val="1D1B11"/>
        </w:rPr>
      </w:pPr>
    </w:p>
    <w:p w:rsidR="00C75D3F" w:rsidRDefault="00C75D3F" w:rsidP="00C75D3F">
      <w:pPr>
        <w:keepNext/>
        <w:tabs>
          <w:tab w:val="left" w:pos="1701"/>
          <w:tab w:val="left" w:pos="1985"/>
        </w:tabs>
        <w:ind w:left="1980" w:hanging="1980"/>
        <w:rPr>
          <w:rFonts w:cs="Cambria"/>
          <w:color w:val="1D1B11"/>
        </w:rPr>
      </w:pPr>
    </w:p>
    <w:p w:rsidR="00C75D3F" w:rsidRDefault="00C75D3F" w:rsidP="00C75D3F">
      <w:pPr>
        <w:keepNext/>
        <w:tabs>
          <w:tab w:val="left" w:pos="1701"/>
          <w:tab w:val="left" w:pos="1985"/>
        </w:tabs>
        <w:ind w:left="1980" w:hanging="1980"/>
        <w:rPr>
          <w:rFonts w:cs="Cambria"/>
          <w:color w:val="1D1B11"/>
        </w:rPr>
      </w:pPr>
    </w:p>
    <w:p w:rsidR="00C75D3F" w:rsidRDefault="00C75D3F" w:rsidP="00C75D3F">
      <w:pPr>
        <w:keepNext/>
        <w:tabs>
          <w:tab w:val="left" w:pos="1701"/>
          <w:tab w:val="left" w:pos="1985"/>
        </w:tabs>
        <w:ind w:left="1980" w:hanging="1980"/>
        <w:rPr>
          <w:rFonts w:cs="Cambria"/>
          <w:color w:val="1D1B11"/>
        </w:rPr>
      </w:pPr>
    </w:p>
    <w:p w:rsidR="00C75D3F" w:rsidRDefault="00C75D3F" w:rsidP="00C75D3F">
      <w:pPr>
        <w:keepNext/>
        <w:tabs>
          <w:tab w:val="left" w:pos="1701"/>
          <w:tab w:val="left" w:pos="1985"/>
        </w:tabs>
        <w:ind w:left="1980" w:hanging="1980"/>
      </w:pPr>
      <w:r>
        <w:rPr>
          <w:rFonts w:cs="Cambria"/>
          <w:color w:val="auto"/>
          <w:sz w:val="18"/>
          <w:szCs w:val="18"/>
        </w:rPr>
        <w:t>Abb. 4 -  Der Rundkolben nach Zugabe von etwas und von mehr Salzsäure. Der Tyndall-Effekt (rechts im Vergleich Wasser).</w:t>
      </w:r>
    </w:p>
    <w:p w:rsidR="00C75D3F" w:rsidRDefault="00C75D3F" w:rsidP="00C75D3F">
      <w:pPr>
        <w:tabs>
          <w:tab w:val="left" w:pos="1701"/>
          <w:tab w:val="left" w:pos="1985"/>
        </w:tabs>
        <w:autoSpaceDE w:val="0"/>
        <w:autoSpaceDN w:val="0"/>
        <w:adjustRightInd w:val="0"/>
        <w:ind w:left="1980" w:hanging="1980"/>
        <w:rPr>
          <w:rFonts w:cs="Cambria"/>
          <w:color w:val="1D1B11"/>
        </w:rPr>
      </w:pPr>
      <w:r>
        <w:rPr>
          <w:rFonts w:cs="Cambria"/>
          <w:color w:val="1D1B11"/>
        </w:rPr>
        <w:t>Deutung:</w:t>
      </w:r>
      <w:r>
        <w:rPr>
          <w:rFonts w:cs="Cambria"/>
          <w:color w:val="1D1B11"/>
        </w:rPr>
        <w:tab/>
      </w:r>
      <w:r>
        <w:rPr>
          <w:rFonts w:cs="Cambria"/>
          <w:color w:val="1D1B11"/>
        </w:rPr>
        <w:tab/>
      </w:r>
      <w:proofErr w:type="spellStart"/>
      <w:r>
        <w:rPr>
          <w:rFonts w:cs="Cambria"/>
          <w:color w:val="1D1B11"/>
        </w:rPr>
        <w:t>Kollodialer</w:t>
      </w:r>
      <w:proofErr w:type="spellEnd"/>
      <w:r>
        <w:rPr>
          <w:rFonts w:cs="Cambria"/>
          <w:color w:val="1D1B11"/>
        </w:rPr>
        <w:t xml:space="preserve"> Schwefel fällt aus, da das </w:t>
      </w:r>
      <w:proofErr w:type="spellStart"/>
      <w:r>
        <w:rPr>
          <w:rFonts w:cs="Cambria"/>
          <w:color w:val="1D1B11"/>
        </w:rPr>
        <w:t>Thiosulfation</w:t>
      </w:r>
      <w:proofErr w:type="spellEnd"/>
      <w:r>
        <w:rPr>
          <w:rFonts w:cs="Cambria"/>
          <w:color w:val="1D1B11"/>
        </w:rPr>
        <w:t xml:space="preserve"> mit dem Proton der Salzsäure zu Wasser, Schwefeldioxid und Schwefel reagiert. Da der Schw</w:t>
      </w:r>
      <w:r>
        <w:rPr>
          <w:rFonts w:cs="Cambria"/>
          <w:color w:val="1D1B11"/>
        </w:rPr>
        <w:t>e</w:t>
      </w:r>
      <w:r>
        <w:rPr>
          <w:rFonts w:cs="Cambria"/>
          <w:color w:val="1D1B11"/>
        </w:rPr>
        <w:t>fel so fein ausfällt (</w:t>
      </w:r>
      <w:proofErr w:type="spellStart"/>
      <w:r>
        <w:rPr>
          <w:rFonts w:cs="Cambria"/>
          <w:color w:val="1D1B11"/>
        </w:rPr>
        <w:t>kollodial</w:t>
      </w:r>
      <w:proofErr w:type="spellEnd"/>
      <w:r>
        <w:rPr>
          <w:rFonts w:cs="Cambria"/>
          <w:color w:val="1D1B11"/>
        </w:rPr>
        <w:t xml:space="preserve">), kann der Tyndall-Effekt erkannt werden. Das Licht wird an den kleinen Teilchen gestreut, da die Größe der Teilchen der Wellenlänge des Lichtes entspricht.    </w:t>
      </w:r>
    </w:p>
    <w:p w:rsidR="00C75D3F" w:rsidRDefault="00C75D3F" w:rsidP="00C75D3F">
      <w:pPr>
        <w:tabs>
          <w:tab w:val="left" w:pos="1701"/>
          <w:tab w:val="left" w:pos="1985"/>
        </w:tabs>
        <w:autoSpaceDE w:val="0"/>
        <w:autoSpaceDN w:val="0"/>
        <w:adjustRightInd w:val="0"/>
        <w:ind w:left="1980" w:hanging="1980"/>
        <w:rPr>
          <w:rFonts w:cs="Cambria"/>
          <w:color w:val="1D1B11"/>
          <w:vertAlign w:val="subscript"/>
        </w:rPr>
      </w:pPr>
      <w:r>
        <w:rPr>
          <w:rFonts w:cs="Cambria"/>
          <w:color w:val="1D1B11"/>
        </w:rPr>
        <w:tab/>
      </w:r>
      <w:r>
        <w:rPr>
          <w:rFonts w:cs="Cambria"/>
          <w:color w:val="1D1B11"/>
        </w:rPr>
        <w:tab/>
        <w:t>S</w:t>
      </w:r>
      <w:r>
        <w:rPr>
          <w:rFonts w:cs="Cambria"/>
          <w:color w:val="1D1B11"/>
          <w:vertAlign w:val="subscript"/>
        </w:rPr>
        <w:t>2</w:t>
      </w:r>
      <w:r>
        <w:rPr>
          <w:rFonts w:cs="Cambria"/>
          <w:color w:val="1D1B11"/>
        </w:rPr>
        <w:t>O</w:t>
      </w:r>
      <w:r>
        <w:rPr>
          <w:rFonts w:cs="Cambria"/>
          <w:color w:val="1D1B11"/>
          <w:vertAlign w:val="subscript"/>
        </w:rPr>
        <w:t>3</w:t>
      </w:r>
      <w:r>
        <w:rPr>
          <w:rFonts w:cs="Cambria"/>
          <w:color w:val="1D1B11"/>
          <w:vertAlign w:val="superscript"/>
        </w:rPr>
        <w:t>2-</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xml:space="preserve"> + 2 H</w:t>
      </w:r>
      <w:r>
        <w:rPr>
          <w:rFonts w:cs="Cambria"/>
          <w:color w:val="1D1B11"/>
          <w:vertAlign w:val="superscript"/>
        </w:rPr>
        <w:t>+</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xml:space="preserve">  </w:t>
      </w:r>
      <w:r w:rsidRPr="00084AD5">
        <w:rPr>
          <w:rFonts w:cs="Cambria"/>
          <w:color w:val="1D1B11"/>
        </w:rPr>
        <w:sym w:font="Wingdings" w:char="F0E0"/>
      </w:r>
      <w:r>
        <w:rPr>
          <w:rFonts w:cs="Cambria"/>
          <w:color w:val="1D1B11"/>
        </w:rPr>
        <w:t xml:space="preserve"> H</w:t>
      </w:r>
      <w:r>
        <w:rPr>
          <w:rFonts w:cs="Cambria"/>
          <w:color w:val="1D1B11"/>
          <w:vertAlign w:val="subscript"/>
        </w:rPr>
        <w:t>2</w:t>
      </w:r>
      <w:r>
        <w:rPr>
          <w:rFonts w:cs="Cambria"/>
          <w:color w:val="1D1B11"/>
        </w:rPr>
        <w:t>O</w:t>
      </w:r>
      <w:r>
        <w:rPr>
          <w:rFonts w:cs="Cambria"/>
          <w:color w:val="1D1B11"/>
          <w:vertAlign w:val="subscript"/>
        </w:rPr>
        <w:t>(l)</w:t>
      </w:r>
      <w:r>
        <w:rPr>
          <w:rFonts w:cs="Cambria"/>
          <w:color w:val="1D1B11"/>
          <w:vertAlign w:val="superscript"/>
        </w:rPr>
        <w:t xml:space="preserve"> </w:t>
      </w:r>
      <w:r>
        <w:rPr>
          <w:rFonts w:cs="Cambria"/>
          <w:color w:val="1D1B11"/>
        </w:rPr>
        <w:t>+ SO</w:t>
      </w:r>
      <w:r>
        <w:rPr>
          <w:rFonts w:cs="Cambria"/>
          <w:color w:val="1D1B11"/>
          <w:vertAlign w:val="subscript"/>
        </w:rPr>
        <w:t>2(g)</w:t>
      </w:r>
      <w:r>
        <w:rPr>
          <w:rFonts w:cs="Cambria"/>
          <w:color w:val="1D1B11"/>
        </w:rPr>
        <w:t xml:space="preserve"> +S</w:t>
      </w:r>
      <w:r>
        <w:rPr>
          <w:rFonts w:cs="Cambria"/>
          <w:color w:val="1D1B11"/>
          <w:vertAlign w:val="subscript"/>
        </w:rPr>
        <w:t>(s)</w:t>
      </w:r>
    </w:p>
    <w:p w:rsidR="00C75D3F" w:rsidRDefault="00C75D3F" w:rsidP="00C75D3F">
      <w:pPr>
        <w:tabs>
          <w:tab w:val="left" w:pos="1701"/>
          <w:tab w:val="left" w:pos="1985"/>
        </w:tabs>
        <w:autoSpaceDE w:val="0"/>
        <w:autoSpaceDN w:val="0"/>
        <w:adjustRightInd w:val="0"/>
        <w:ind w:left="1980" w:hanging="1980"/>
        <w:rPr>
          <w:rFonts w:cs="Cambria"/>
          <w:color w:val="1D1B11"/>
        </w:rPr>
      </w:pPr>
      <w:r>
        <w:rPr>
          <w:rFonts w:cs="Cambria"/>
          <w:color w:val="1D1B11"/>
        </w:rPr>
        <w:t>Literatur:</w:t>
      </w:r>
      <w:r>
        <w:rPr>
          <w:rFonts w:cs="Cambria"/>
          <w:color w:val="1D1B11"/>
        </w:rPr>
        <w:tab/>
      </w:r>
      <w:r>
        <w:rPr>
          <w:rFonts w:cs="Cambria"/>
          <w:color w:val="1D1B11"/>
        </w:rPr>
        <w:tab/>
        <w:t xml:space="preserve">K. Möckel, H. W. </w:t>
      </w:r>
      <w:proofErr w:type="spellStart"/>
      <w:r>
        <w:rPr>
          <w:rFonts w:cs="Cambria"/>
          <w:color w:val="1D1B11"/>
        </w:rPr>
        <w:t>Roesky</w:t>
      </w:r>
      <w:proofErr w:type="spellEnd"/>
      <w:r>
        <w:rPr>
          <w:rFonts w:cs="Cambria"/>
          <w:color w:val="1D1B11"/>
        </w:rPr>
        <w:t>, Chemische Kabinettstücke, spektakuläre Exper</w:t>
      </w:r>
      <w:r>
        <w:rPr>
          <w:rFonts w:cs="Cambria"/>
          <w:color w:val="1D1B11"/>
        </w:rPr>
        <w:t>i</w:t>
      </w:r>
      <w:r>
        <w:rPr>
          <w:rFonts w:cs="Cambria"/>
          <w:color w:val="1D1B11"/>
        </w:rPr>
        <w:t xml:space="preserve">mente und geistreiche Zitate, VHC, 1. Auflage, S. 194, 195. </w:t>
      </w:r>
    </w:p>
    <w:p w:rsidR="00C75D3F" w:rsidRDefault="00C75D3F" w:rsidP="00C75D3F">
      <w:pPr>
        <w:tabs>
          <w:tab w:val="left" w:pos="1701"/>
          <w:tab w:val="left" w:pos="1985"/>
        </w:tabs>
        <w:autoSpaceDE w:val="0"/>
        <w:autoSpaceDN w:val="0"/>
        <w:adjustRightInd w:val="0"/>
        <w:ind w:left="1979"/>
        <w:rPr>
          <w:rFonts w:cs="Cambria"/>
          <w:color w:val="1D1B11"/>
        </w:rPr>
      </w:pPr>
      <w:r>
        <w:rPr>
          <w:rFonts w:cs="Cambria"/>
          <w:color w:val="1D1B11"/>
        </w:rPr>
        <w:tab/>
        <w:t xml:space="preserve">H. Schmidkunz, Chemische Freihandversuche Band 1, Kleine Versuche mit großer Wirkung, </w:t>
      </w:r>
      <w:proofErr w:type="spellStart"/>
      <w:r>
        <w:rPr>
          <w:rFonts w:cs="Cambria"/>
          <w:color w:val="1D1B11"/>
        </w:rPr>
        <w:t>Aulis</w:t>
      </w:r>
      <w:proofErr w:type="spellEnd"/>
      <w:r>
        <w:rPr>
          <w:rFonts w:cs="Cambria"/>
          <w:color w:val="1D1B11"/>
        </w:rPr>
        <w:t xml:space="preserve"> Verlag, 1. Auflage, Seite 167-170. </w:t>
      </w:r>
    </w:p>
    <w:p w:rsidR="00C75D3F" w:rsidRDefault="00C75D3F" w:rsidP="00C75D3F">
      <w:pPr>
        <w:tabs>
          <w:tab w:val="left" w:pos="1701"/>
          <w:tab w:val="left" w:pos="1985"/>
        </w:tabs>
        <w:autoSpaceDE w:val="0"/>
        <w:autoSpaceDN w:val="0"/>
        <w:adjustRightInd w:val="0"/>
        <w:ind w:left="1979" w:hanging="1979"/>
        <w:rPr>
          <w:rFonts w:cs="Cambria"/>
          <w:color w:val="1D1B11"/>
        </w:rPr>
      </w:pPr>
      <w:r>
        <w:rPr>
          <w:rFonts w:cs="Cambria"/>
          <w:color w:val="1D1B11"/>
        </w:rPr>
        <w:tab/>
      </w:r>
      <w:r>
        <w:rPr>
          <w:rFonts w:cs="Cambria"/>
          <w:color w:val="1D1B11"/>
        </w:rPr>
        <w:tab/>
        <w:t xml:space="preserve">K. Häusler, H. </w:t>
      </w:r>
      <w:proofErr w:type="spellStart"/>
      <w:r>
        <w:rPr>
          <w:rFonts w:cs="Cambria"/>
          <w:color w:val="1D1B11"/>
        </w:rPr>
        <w:t>Rampf</w:t>
      </w:r>
      <w:proofErr w:type="spellEnd"/>
      <w:r>
        <w:rPr>
          <w:rFonts w:cs="Cambria"/>
          <w:color w:val="1D1B11"/>
        </w:rPr>
        <w:t xml:space="preserve">, R. Reichelt, Experimente für den Chemieunterricht mit einer Einführung in die Labortechnik, </w:t>
      </w:r>
      <w:proofErr w:type="spellStart"/>
      <w:r>
        <w:rPr>
          <w:rFonts w:cs="Cambria"/>
          <w:color w:val="1D1B11"/>
        </w:rPr>
        <w:t>Oldenbourg</w:t>
      </w:r>
      <w:proofErr w:type="spellEnd"/>
      <w:r>
        <w:rPr>
          <w:rFonts w:cs="Cambria"/>
          <w:color w:val="1D1B11"/>
        </w:rPr>
        <w:t>, 2. Auflage 1995, Druck 2013, S. 153.</w:t>
      </w:r>
    </w:p>
    <w:p w:rsidR="00C75D3F" w:rsidRDefault="00C75D3F" w:rsidP="00C75D3F">
      <w:pPr>
        <w:tabs>
          <w:tab w:val="left" w:pos="1701"/>
          <w:tab w:val="left" w:pos="1985"/>
        </w:tabs>
        <w:ind w:left="1980" w:hanging="1980"/>
        <w:rPr>
          <w:rFonts w:cs="Cambria"/>
          <w:color w:val="1D1B11"/>
        </w:rPr>
      </w:pPr>
      <w:r>
        <w:rPr>
          <w:rFonts w:cs="Cambria"/>
          <w:color w:val="1D1B11"/>
        </w:rPr>
        <w:t xml:space="preserve">Entsorgung: </w:t>
      </w:r>
      <w:r>
        <w:rPr>
          <w:rFonts w:cs="Cambria"/>
          <w:color w:val="1D1B11"/>
        </w:rPr>
        <w:tab/>
      </w:r>
      <w:r>
        <w:rPr>
          <w:rFonts w:cs="Cambria"/>
          <w:color w:val="1D1B11"/>
        </w:rPr>
        <w:tab/>
        <w:t>Die Lösung wird neutralisiert und dann mit viel Wasser in den Abfluss g</w:t>
      </w:r>
      <w:r>
        <w:rPr>
          <w:rFonts w:cs="Cambria"/>
          <w:color w:val="1D1B11"/>
        </w:rPr>
        <w:t>e</w:t>
      </w:r>
      <w:r>
        <w:rPr>
          <w:rFonts w:cs="Cambria"/>
          <w:color w:val="1D1B11"/>
        </w:rPr>
        <w:t xml:space="preserve">geben. </w:t>
      </w:r>
    </w:p>
    <w:p w:rsidR="00C75D3F" w:rsidRPr="00D23E95" w:rsidRDefault="00C75D3F" w:rsidP="00C75D3F">
      <w:pPr>
        <w:tabs>
          <w:tab w:val="left" w:pos="1701"/>
          <w:tab w:val="left" w:pos="1985"/>
        </w:tabs>
        <w:ind w:left="1980" w:hanging="1980"/>
        <w:rPr>
          <w:rFonts w:cs="Cambria"/>
          <w:color w:val="1D1B11"/>
        </w:rPr>
      </w:pPr>
      <w:r w:rsidRPr="00B716E8">
        <w:pict>
          <v:shape id="_x0000_s1026" type="#_x0000_t202" style="width:462.45pt;height:178.15pt;mso-position-horizontal-relative:char;mso-position-vertical-relative:line;mso-width-relative:margin;mso-height-relative:margin" fillcolor="white [3201]" strokecolor="#c0504d [3205]" strokeweight="1pt">
            <v:stroke dashstyle="dash"/>
            <v:shadow color="#868686"/>
            <v:textbox style="mso-next-textbox:#_x0000_s1026">
              <w:txbxContent>
                <w:p w:rsidR="00C75D3F" w:rsidRDefault="00C75D3F" w:rsidP="00C75D3F">
                  <w:pPr>
                    <w:tabs>
                      <w:tab w:val="left" w:pos="1701"/>
                      <w:tab w:val="left" w:pos="1985"/>
                    </w:tabs>
                    <w:autoSpaceDE w:val="0"/>
                    <w:autoSpaceDN w:val="0"/>
                    <w:adjustRightInd w:val="0"/>
                    <w:rPr>
                      <w:rFonts w:cs="Cambria"/>
                      <w:color w:val="1F497D"/>
                    </w:rPr>
                  </w:pPr>
                  <w:r>
                    <w:rPr>
                      <w:rFonts w:cs="Cambria"/>
                      <w:color w:val="1F497D"/>
                    </w:rPr>
                    <w:t>Der Versuch könnte als Einstieg in das Thema Schwefel benutzt werden oder als Teil der Ei</w:t>
                  </w:r>
                  <w:r>
                    <w:rPr>
                      <w:rFonts w:cs="Cambria"/>
                      <w:color w:val="1F497D"/>
                    </w:rPr>
                    <w:t>n</w:t>
                  </w:r>
                  <w:r>
                    <w:rPr>
                      <w:rFonts w:cs="Cambria"/>
                      <w:color w:val="1F497D"/>
                    </w:rPr>
                    <w:t>heit Nano.</w:t>
                  </w:r>
                </w:p>
                <w:p w:rsidR="00C75D3F" w:rsidRDefault="00C75D3F" w:rsidP="00C75D3F">
                  <w:pPr>
                    <w:tabs>
                      <w:tab w:val="left" w:pos="1701"/>
                      <w:tab w:val="left" w:pos="1985"/>
                    </w:tabs>
                    <w:autoSpaceDE w:val="0"/>
                    <w:autoSpaceDN w:val="0"/>
                    <w:adjustRightInd w:val="0"/>
                    <w:rPr>
                      <w:rFonts w:cs="Cambria"/>
                      <w:color w:val="1F497D"/>
                    </w:rPr>
                  </w:pPr>
                  <w:r>
                    <w:rPr>
                      <w:rFonts w:cs="Cambria"/>
                      <w:color w:val="1F497D"/>
                    </w:rPr>
                    <w:t xml:space="preserve">Der Versuch ist auch als Schülerversuch im Becherglas möglich. Dazu werden in ein 100 ml Becherglas 50 ml Wasser gegeben und eine </w:t>
                  </w:r>
                  <w:proofErr w:type="spellStart"/>
                  <w:r>
                    <w:rPr>
                      <w:rFonts w:cs="Cambria"/>
                      <w:color w:val="1F497D"/>
                    </w:rPr>
                    <w:t>Spatelportion</w:t>
                  </w:r>
                  <w:proofErr w:type="spellEnd"/>
                  <w:r>
                    <w:rPr>
                      <w:rFonts w:cs="Cambria"/>
                      <w:color w:val="1F497D"/>
                    </w:rPr>
                    <w:t xml:space="preserve"> </w:t>
                  </w:r>
                  <w:proofErr w:type="spellStart"/>
                  <w:r>
                    <w:rPr>
                      <w:rFonts w:cs="Cambria"/>
                      <w:color w:val="1F497D"/>
                    </w:rPr>
                    <w:t>Natriumthiosulfat</w:t>
                  </w:r>
                  <w:proofErr w:type="spellEnd"/>
                  <w:r>
                    <w:rPr>
                      <w:rFonts w:cs="Cambria"/>
                      <w:color w:val="1F497D"/>
                    </w:rPr>
                    <w:t>. Verdünnte Sal</w:t>
                  </w:r>
                  <w:r>
                    <w:rPr>
                      <w:rFonts w:cs="Cambria"/>
                      <w:color w:val="1F497D"/>
                    </w:rPr>
                    <w:t>z</w:t>
                  </w:r>
                  <w:r>
                    <w:rPr>
                      <w:rFonts w:cs="Cambria"/>
                      <w:color w:val="1F497D"/>
                    </w:rPr>
                    <w:t xml:space="preserve">säure wird </w:t>
                  </w:r>
                  <w:proofErr w:type="spellStart"/>
                  <w:r>
                    <w:rPr>
                      <w:rFonts w:cs="Cambria"/>
                      <w:color w:val="1F497D"/>
                    </w:rPr>
                    <w:t>dazugetropft</w:t>
                  </w:r>
                  <w:proofErr w:type="spellEnd"/>
                  <w:r>
                    <w:rPr>
                      <w:rFonts w:cs="Cambria"/>
                      <w:color w:val="1F497D"/>
                    </w:rPr>
                    <w:t>. Eine weitere Alternative ist durchführbar, indem ein halbes Reagen</w:t>
                  </w:r>
                  <w:r>
                    <w:rPr>
                      <w:rFonts w:cs="Cambria"/>
                      <w:color w:val="1F497D"/>
                    </w:rPr>
                    <w:t>z</w:t>
                  </w:r>
                  <w:r>
                    <w:rPr>
                      <w:rFonts w:cs="Cambria"/>
                      <w:color w:val="1F497D"/>
                    </w:rPr>
                    <w:t>glas mit Ethanol und Schwefel (</w:t>
                  </w:r>
                  <w:proofErr w:type="spellStart"/>
                  <w:r>
                    <w:rPr>
                      <w:rFonts w:cs="Cambria"/>
                      <w:color w:val="1F497D"/>
                    </w:rPr>
                    <w:t>Spatelspitze</w:t>
                  </w:r>
                  <w:proofErr w:type="spellEnd"/>
                  <w:r>
                    <w:rPr>
                      <w:rFonts w:cs="Cambria"/>
                      <w:color w:val="1F497D"/>
                    </w:rPr>
                    <w:t xml:space="preserve">) im Wasserbad bei 80 °C erhitzt wird (Vorsicht vor </w:t>
                  </w:r>
                  <w:proofErr w:type="spellStart"/>
                  <w:r>
                    <w:rPr>
                      <w:rFonts w:cs="Cambria"/>
                      <w:color w:val="1F497D"/>
                    </w:rPr>
                    <w:t>Ethanolbränden</w:t>
                  </w:r>
                  <w:proofErr w:type="spellEnd"/>
                  <w:r>
                    <w:rPr>
                      <w:rFonts w:cs="Cambria"/>
                      <w:color w:val="1F497D"/>
                    </w:rPr>
                    <w:t xml:space="preserve">!). Die Lösung wird 5 Minuten stehen gelassen, damit sie abkühlt. Nun wird sie in ein Becherglas mit 50 ml Wasser gegeben. </w:t>
                  </w:r>
                </w:p>
                <w:p w:rsidR="00C75D3F" w:rsidRPr="000D10FB" w:rsidRDefault="00C75D3F" w:rsidP="00C75D3F">
                  <w:pPr>
                    <w:rPr>
                      <w:color w:val="1F497D" w:themeColor="text2"/>
                    </w:rPr>
                  </w:pPr>
                </w:p>
              </w:txbxContent>
            </v:textbox>
            <w10:wrap type="none"/>
            <w10:anchorlock/>
          </v:shape>
        </w:pict>
      </w:r>
    </w:p>
    <w:p w:rsidR="00B93CB0" w:rsidRDefault="00B93CB0"/>
    <w:sectPr w:rsidR="00B93CB0" w:rsidSect="00B93CB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 w:numId="2">
    <w:abstractNumId w:val="0"/>
    <w:lvlOverride w:ilvl="0">
      <w:startOverride w:val="2"/>
    </w:lvlOverride>
    <w:lvlOverride w:ilvl="1">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C75D3F"/>
    <w:rsid w:val="0000249D"/>
    <w:rsid w:val="000109E3"/>
    <w:rsid w:val="00011AC0"/>
    <w:rsid w:val="0001418F"/>
    <w:rsid w:val="00016490"/>
    <w:rsid w:val="000202FB"/>
    <w:rsid w:val="00044AD5"/>
    <w:rsid w:val="00047287"/>
    <w:rsid w:val="00051DB1"/>
    <w:rsid w:val="000712EA"/>
    <w:rsid w:val="00071664"/>
    <w:rsid w:val="00071F21"/>
    <w:rsid w:val="000B5A53"/>
    <w:rsid w:val="000B7B81"/>
    <w:rsid w:val="000C69D2"/>
    <w:rsid w:val="000E56BA"/>
    <w:rsid w:val="000F0499"/>
    <w:rsid w:val="000F5F36"/>
    <w:rsid w:val="00104F91"/>
    <w:rsid w:val="00105CD3"/>
    <w:rsid w:val="001135ED"/>
    <w:rsid w:val="00114B5F"/>
    <w:rsid w:val="0011700F"/>
    <w:rsid w:val="00117DF5"/>
    <w:rsid w:val="00124004"/>
    <w:rsid w:val="00125FA3"/>
    <w:rsid w:val="00133E86"/>
    <w:rsid w:val="0013665F"/>
    <w:rsid w:val="00141789"/>
    <w:rsid w:val="00153566"/>
    <w:rsid w:val="00160B0B"/>
    <w:rsid w:val="00162FC5"/>
    <w:rsid w:val="00163AB4"/>
    <w:rsid w:val="00163BCB"/>
    <w:rsid w:val="00176222"/>
    <w:rsid w:val="00180232"/>
    <w:rsid w:val="00181C91"/>
    <w:rsid w:val="00191E34"/>
    <w:rsid w:val="001934D1"/>
    <w:rsid w:val="00194426"/>
    <w:rsid w:val="001A5655"/>
    <w:rsid w:val="001C2C46"/>
    <w:rsid w:val="001C306B"/>
    <w:rsid w:val="001C5C03"/>
    <w:rsid w:val="001D7831"/>
    <w:rsid w:val="001E691A"/>
    <w:rsid w:val="00202A5F"/>
    <w:rsid w:val="002058D0"/>
    <w:rsid w:val="0020742B"/>
    <w:rsid w:val="00217EFE"/>
    <w:rsid w:val="00222B6A"/>
    <w:rsid w:val="00242A32"/>
    <w:rsid w:val="00257F3F"/>
    <w:rsid w:val="002606BA"/>
    <w:rsid w:val="002608F0"/>
    <w:rsid w:val="002726D5"/>
    <w:rsid w:val="00294AEC"/>
    <w:rsid w:val="002A4424"/>
    <w:rsid w:val="002B2937"/>
    <w:rsid w:val="002E1486"/>
    <w:rsid w:val="002E2AA5"/>
    <w:rsid w:val="002E2B43"/>
    <w:rsid w:val="002E47B4"/>
    <w:rsid w:val="00300EE4"/>
    <w:rsid w:val="0030304D"/>
    <w:rsid w:val="00303685"/>
    <w:rsid w:val="0030793D"/>
    <w:rsid w:val="003109AD"/>
    <w:rsid w:val="00325AC9"/>
    <w:rsid w:val="003359AC"/>
    <w:rsid w:val="00347497"/>
    <w:rsid w:val="003477BB"/>
    <w:rsid w:val="003529F1"/>
    <w:rsid w:val="003547D3"/>
    <w:rsid w:val="00365E87"/>
    <w:rsid w:val="00367980"/>
    <w:rsid w:val="00371189"/>
    <w:rsid w:val="00375369"/>
    <w:rsid w:val="00392377"/>
    <w:rsid w:val="003A389B"/>
    <w:rsid w:val="003C06F1"/>
    <w:rsid w:val="003D6196"/>
    <w:rsid w:val="003E68DE"/>
    <w:rsid w:val="003F037D"/>
    <w:rsid w:val="003F09D6"/>
    <w:rsid w:val="003F286E"/>
    <w:rsid w:val="003F63D0"/>
    <w:rsid w:val="003F6C8C"/>
    <w:rsid w:val="00401647"/>
    <w:rsid w:val="00404632"/>
    <w:rsid w:val="004077FC"/>
    <w:rsid w:val="0041546D"/>
    <w:rsid w:val="00416CCC"/>
    <w:rsid w:val="00421A97"/>
    <w:rsid w:val="004231EB"/>
    <w:rsid w:val="004307D5"/>
    <w:rsid w:val="00435FFF"/>
    <w:rsid w:val="00443A7A"/>
    <w:rsid w:val="00474566"/>
    <w:rsid w:val="00480B4F"/>
    <w:rsid w:val="004871BC"/>
    <w:rsid w:val="00491914"/>
    <w:rsid w:val="00491CA9"/>
    <w:rsid w:val="00494EDF"/>
    <w:rsid w:val="004A639D"/>
    <w:rsid w:val="004A6FB9"/>
    <w:rsid w:val="004B11F5"/>
    <w:rsid w:val="004B634C"/>
    <w:rsid w:val="004C420A"/>
    <w:rsid w:val="004D1DFD"/>
    <w:rsid w:val="004D3AD7"/>
    <w:rsid w:val="004F307E"/>
    <w:rsid w:val="004F33B7"/>
    <w:rsid w:val="004F5232"/>
    <w:rsid w:val="00505972"/>
    <w:rsid w:val="005127E5"/>
    <w:rsid w:val="00514176"/>
    <w:rsid w:val="005200CA"/>
    <w:rsid w:val="00522BE5"/>
    <w:rsid w:val="0052786C"/>
    <w:rsid w:val="005328C7"/>
    <w:rsid w:val="00541FCB"/>
    <w:rsid w:val="00543F09"/>
    <w:rsid w:val="005477A9"/>
    <w:rsid w:val="00552684"/>
    <w:rsid w:val="005562AF"/>
    <w:rsid w:val="0056023C"/>
    <w:rsid w:val="0056041D"/>
    <w:rsid w:val="00566BB0"/>
    <w:rsid w:val="00573B3A"/>
    <w:rsid w:val="0057645C"/>
    <w:rsid w:val="0058161A"/>
    <w:rsid w:val="005A11B6"/>
    <w:rsid w:val="005A39E9"/>
    <w:rsid w:val="005A4DC9"/>
    <w:rsid w:val="005A6CD8"/>
    <w:rsid w:val="005A757C"/>
    <w:rsid w:val="005C0B65"/>
    <w:rsid w:val="005C62A9"/>
    <w:rsid w:val="005C7874"/>
    <w:rsid w:val="005D3948"/>
    <w:rsid w:val="005E4298"/>
    <w:rsid w:val="005E6384"/>
    <w:rsid w:val="005F405F"/>
    <w:rsid w:val="0060248F"/>
    <w:rsid w:val="00602FF1"/>
    <w:rsid w:val="00604E91"/>
    <w:rsid w:val="00606281"/>
    <w:rsid w:val="00617A27"/>
    <w:rsid w:val="006252B7"/>
    <w:rsid w:val="006333A1"/>
    <w:rsid w:val="006419C3"/>
    <w:rsid w:val="00655AFC"/>
    <w:rsid w:val="0065724C"/>
    <w:rsid w:val="006666D3"/>
    <w:rsid w:val="00673E1C"/>
    <w:rsid w:val="00693D98"/>
    <w:rsid w:val="0069652D"/>
    <w:rsid w:val="006B2545"/>
    <w:rsid w:val="006C05EC"/>
    <w:rsid w:val="006D0F1B"/>
    <w:rsid w:val="006D4B22"/>
    <w:rsid w:val="006F1F6D"/>
    <w:rsid w:val="006F20E3"/>
    <w:rsid w:val="00704F07"/>
    <w:rsid w:val="00721F86"/>
    <w:rsid w:val="007322EF"/>
    <w:rsid w:val="0074467C"/>
    <w:rsid w:val="00745CC1"/>
    <w:rsid w:val="00756BA1"/>
    <w:rsid w:val="00770B3D"/>
    <w:rsid w:val="00783536"/>
    <w:rsid w:val="00792920"/>
    <w:rsid w:val="007A2A42"/>
    <w:rsid w:val="007B3B68"/>
    <w:rsid w:val="007B570C"/>
    <w:rsid w:val="007B6E96"/>
    <w:rsid w:val="007C0024"/>
    <w:rsid w:val="007C13F5"/>
    <w:rsid w:val="007C4CF8"/>
    <w:rsid w:val="007C5F72"/>
    <w:rsid w:val="007D5561"/>
    <w:rsid w:val="007D7553"/>
    <w:rsid w:val="007E0E3B"/>
    <w:rsid w:val="007E685C"/>
    <w:rsid w:val="008015A4"/>
    <w:rsid w:val="0080204D"/>
    <w:rsid w:val="008021A0"/>
    <w:rsid w:val="00820583"/>
    <w:rsid w:val="0082324C"/>
    <w:rsid w:val="00825682"/>
    <w:rsid w:val="00846D92"/>
    <w:rsid w:val="008505B9"/>
    <w:rsid w:val="00855AFD"/>
    <w:rsid w:val="008575D8"/>
    <w:rsid w:val="00874B03"/>
    <w:rsid w:val="008937B4"/>
    <w:rsid w:val="008956F5"/>
    <w:rsid w:val="008977ED"/>
    <w:rsid w:val="008B3059"/>
    <w:rsid w:val="008C1355"/>
    <w:rsid w:val="008C23FE"/>
    <w:rsid w:val="008D176C"/>
    <w:rsid w:val="008D6B6B"/>
    <w:rsid w:val="008E6454"/>
    <w:rsid w:val="009005D5"/>
    <w:rsid w:val="009021DB"/>
    <w:rsid w:val="0090331C"/>
    <w:rsid w:val="0090371D"/>
    <w:rsid w:val="00906220"/>
    <w:rsid w:val="0091654B"/>
    <w:rsid w:val="009425A1"/>
    <w:rsid w:val="00943E92"/>
    <w:rsid w:val="00944CFB"/>
    <w:rsid w:val="00946990"/>
    <w:rsid w:val="0095149D"/>
    <w:rsid w:val="0095339A"/>
    <w:rsid w:val="00953AF6"/>
    <w:rsid w:val="00954F58"/>
    <w:rsid w:val="00965251"/>
    <w:rsid w:val="00966A56"/>
    <w:rsid w:val="00971360"/>
    <w:rsid w:val="00972377"/>
    <w:rsid w:val="0097352D"/>
    <w:rsid w:val="0097394A"/>
    <w:rsid w:val="00975E0F"/>
    <w:rsid w:val="0098029A"/>
    <w:rsid w:val="00980569"/>
    <w:rsid w:val="00980A79"/>
    <w:rsid w:val="00980D94"/>
    <w:rsid w:val="00984BD9"/>
    <w:rsid w:val="009914DD"/>
    <w:rsid w:val="00995C6E"/>
    <w:rsid w:val="009B5CAB"/>
    <w:rsid w:val="009C45B3"/>
    <w:rsid w:val="009C63F9"/>
    <w:rsid w:val="009D1D4C"/>
    <w:rsid w:val="009E2992"/>
    <w:rsid w:val="009E30C6"/>
    <w:rsid w:val="009E3BD8"/>
    <w:rsid w:val="009E6B32"/>
    <w:rsid w:val="009F3FDC"/>
    <w:rsid w:val="009F51CA"/>
    <w:rsid w:val="00A0110A"/>
    <w:rsid w:val="00A12FAE"/>
    <w:rsid w:val="00A21DBB"/>
    <w:rsid w:val="00A234B1"/>
    <w:rsid w:val="00A55E01"/>
    <w:rsid w:val="00A60861"/>
    <w:rsid w:val="00A63D8C"/>
    <w:rsid w:val="00A72FD7"/>
    <w:rsid w:val="00A75665"/>
    <w:rsid w:val="00A862C4"/>
    <w:rsid w:val="00A92618"/>
    <w:rsid w:val="00A95AA4"/>
    <w:rsid w:val="00AA3AF8"/>
    <w:rsid w:val="00AA4024"/>
    <w:rsid w:val="00AA66E0"/>
    <w:rsid w:val="00AA6D1D"/>
    <w:rsid w:val="00AB5092"/>
    <w:rsid w:val="00AC19E8"/>
    <w:rsid w:val="00AC397C"/>
    <w:rsid w:val="00AE54FF"/>
    <w:rsid w:val="00AF2BD7"/>
    <w:rsid w:val="00AF58D1"/>
    <w:rsid w:val="00B0136C"/>
    <w:rsid w:val="00B04E26"/>
    <w:rsid w:val="00B05452"/>
    <w:rsid w:val="00B05CDB"/>
    <w:rsid w:val="00B1226C"/>
    <w:rsid w:val="00B1311B"/>
    <w:rsid w:val="00B1505F"/>
    <w:rsid w:val="00B15D57"/>
    <w:rsid w:val="00B25E3D"/>
    <w:rsid w:val="00B351FF"/>
    <w:rsid w:val="00B43888"/>
    <w:rsid w:val="00B47816"/>
    <w:rsid w:val="00B566AD"/>
    <w:rsid w:val="00B6050E"/>
    <w:rsid w:val="00B61774"/>
    <w:rsid w:val="00B62CD1"/>
    <w:rsid w:val="00B653AF"/>
    <w:rsid w:val="00B654C5"/>
    <w:rsid w:val="00B7579B"/>
    <w:rsid w:val="00B81161"/>
    <w:rsid w:val="00B93CB0"/>
    <w:rsid w:val="00B94727"/>
    <w:rsid w:val="00B97174"/>
    <w:rsid w:val="00BA2901"/>
    <w:rsid w:val="00BB3FD7"/>
    <w:rsid w:val="00BC18F5"/>
    <w:rsid w:val="00BD3022"/>
    <w:rsid w:val="00BD5E3A"/>
    <w:rsid w:val="00BD6AB2"/>
    <w:rsid w:val="00BD6B61"/>
    <w:rsid w:val="00BE2009"/>
    <w:rsid w:val="00BE31F4"/>
    <w:rsid w:val="00BE41E6"/>
    <w:rsid w:val="00BE5BA2"/>
    <w:rsid w:val="00BF08F1"/>
    <w:rsid w:val="00C00187"/>
    <w:rsid w:val="00C118B9"/>
    <w:rsid w:val="00C12450"/>
    <w:rsid w:val="00C13B17"/>
    <w:rsid w:val="00C14ED4"/>
    <w:rsid w:val="00C235C2"/>
    <w:rsid w:val="00C30743"/>
    <w:rsid w:val="00C40799"/>
    <w:rsid w:val="00C41822"/>
    <w:rsid w:val="00C45BD3"/>
    <w:rsid w:val="00C47453"/>
    <w:rsid w:val="00C52814"/>
    <w:rsid w:val="00C55B54"/>
    <w:rsid w:val="00C64ED0"/>
    <w:rsid w:val="00C6502D"/>
    <w:rsid w:val="00C6533A"/>
    <w:rsid w:val="00C75D3F"/>
    <w:rsid w:val="00C93A84"/>
    <w:rsid w:val="00C9733C"/>
    <w:rsid w:val="00CA6B2B"/>
    <w:rsid w:val="00CB2F26"/>
    <w:rsid w:val="00CC30D9"/>
    <w:rsid w:val="00CC3820"/>
    <w:rsid w:val="00CC6AD5"/>
    <w:rsid w:val="00CD15FF"/>
    <w:rsid w:val="00CD5E2B"/>
    <w:rsid w:val="00CE632A"/>
    <w:rsid w:val="00CF6B08"/>
    <w:rsid w:val="00CF75F7"/>
    <w:rsid w:val="00D00B05"/>
    <w:rsid w:val="00D12B8C"/>
    <w:rsid w:val="00D13B63"/>
    <w:rsid w:val="00D15269"/>
    <w:rsid w:val="00D220DB"/>
    <w:rsid w:val="00D42583"/>
    <w:rsid w:val="00D476A5"/>
    <w:rsid w:val="00D53C0A"/>
    <w:rsid w:val="00D56536"/>
    <w:rsid w:val="00D5784D"/>
    <w:rsid w:val="00D67F81"/>
    <w:rsid w:val="00D74FC3"/>
    <w:rsid w:val="00D75471"/>
    <w:rsid w:val="00D81986"/>
    <w:rsid w:val="00D82354"/>
    <w:rsid w:val="00D82A97"/>
    <w:rsid w:val="00D867E1"/>
    <w:rsid w:val="00DA22D3"/>
    <w:rsid w:val="00DA4EC1"/>
    <w:rsid w:val="00DB4079"/>
    <w:rsid w:val="00DC7A1A"/>
    <w:rsid w:val="00DD575F"/>
    <w:rsid w:val="00DE1180"/>
    <w:rsid w:val="00DE2060"/>
    <w:rsid w:val="00DE3E4F"/>
    <w:rsid w:val="00DF2622"/>
    <w:rsid w:val="00DF61BF"/>
    <w:rsid w:val="00E00713"/>
    <w:rsid w:val="00E02C43"/>
    <w:rsid w:val="00E068D5"/>
    <w:rsid w:val="00E06DD6"/>
    <w:rsid w:val="00E07A6D"/>
    <w:rsid w:val="00E20680"/>
    <w:rsid w:val="00E36F4F"/>
    <w:rsid w:val="00E37971"/>
    <w:rsid w:val="00E527B8"/>
    <w:rsid w:val="00E73ED2"/>
    <w:rsid w:val="00E745BF"/>
    <w:rsid w:val="00E76980"/>
    <w:rsid w:val="00E81025"/>
    <w:rsid w:val="00E82ECF"/>
    <w:rsid w:val="00E83876"/>
    <w:rsid w:val="00E85ECB"/>
    <w:rsid w:val="00E921EC"/>
    <w:rsid w:val="00E924BC"/>
    <w:rsid w:val="00E979BD"/>
    <w:rsid w:val="00EA09BC"/>
    <w:rsid w:val="00EB4530"/>
    <w:rsid w:val="00EB6B83"/>
    <w:rsid w:val="00EC37CA"/>
    <w:rsid w:val="00EC4362"/>
    <w:rsid w:val="00EC6465"/>
    <w:rsid w:val="00ED0F88"/>
    <w:rsid w:val="00ED2EB3"/>
    <w:rsid w:val="00ED75C5"/>
    <w:rsid w:val="00EE4DEA"/>
    <w:rsid w:val="00EE6F4E"/>
    <w:rsid w:val="00F03626"/>
    <w:rsid w:val="00F075D5"/>
    <w:rsid w:val="00F221EA"/>
    <w:rsid w:val="00F23805"/>
    <w:rsid w:val="00F2569E"/>
    <w:rsid w:val="00F31D06"/>
    <w:rsid w:val="00F3379A"/>
    <w:rsid w:val="00F3550B"/>
    <w:rsid w:val="00F45080"/>
    <w:rsid w:val="00F50715"/>
    <w:rsid w:val="00F6181E"/>
    <w:rsid w:val="00F61C75"/>
    <w:rsid w:val="00F728D1"/>
    <w:rsid w:val="00F86555"/>
    <w:rsid w:val="00F8793A"/>
    <w:rsid w:val="00F91B80"/>
    <w:rsid w:val="00F95C1D"/>
    <w:rsid w:val="00FC2143"/>
    <w:rsid w:val="00FC4BC5"/>
    <w:rsid w:val="00FC54FD"/>
    <w:rsid w:val="00FC61B4"/>
    <w:rsid w:val="00FD7480"/>
    <w:rsid w:val="00FE16DB"/>
    <w:rsid w:val="00FE4D94"/>
    <w:rsid w:val="00FF00C6"/>
    <w:rsid w:val="00FF227A"/>
    <w:rsid w:val="00FF2421"/>
    <w:rsid w:val="00FF289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5D3F"/>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C75D3F"/>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C75D3F"/>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C75D3F"/>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C75D3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75D3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75D3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75D3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75D3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75D3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75D3F"/>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C75D3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C75D3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C75D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C75D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C75D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C75D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75D3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75D3F"/>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C75D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5D3F"/>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284</Words>
  <Characters>1792</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noraa</dc:creator>
  <cp:lastModifiedBy>noraa</cp:lastModifiedBy>
  <cp:revision>1</cp:revision>
  <dcterms:created xsi:type="dcterms:W3CDTF">2014-08-26T21:04:00Z</dcterms:created>
  <dcterms:modified xsi:type="dcterms:W3CDTF">2014-08-26T21:05:00Z</dcterms:modified>
</cp:coreProperties>
</file>