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152" w:rsidRDefault="006E5152" w:rsidP="006E5152">
      <w:pPr>
        <w:pStyle w:val="berschrift2"/>
        <w:numPr>
          <w:ilvl w:val="0"/>
          <w:numId w:val="0"/>
        </w:numPr>
        <w:ind w:left="576" w:hanging="576"/>
        <w:rPr>
          <w:noProof/>
          <w:lang w:eastAsia="de-DE"/>
        </w:rPr>
      </w:pPr>
      <w:bookmarkStart w:id="0" w:name="_Toc396403991"/>
      <w:r>
        <w:rPr>
          <w:noProof/>
          <w:lang w:eastAsia="de-DE"/>
        </w:rPr>
        <w:pict>
          <v:shapetype id="_x0000_t202" coordsize="21600,21600" o:spt="202" path="m,l,21600r21600,l21600,xe">
            <v:stroke joinstyle="miter"/>
            <v:path gradientshapeok="t" o:connecttype="rect"/>
          </v:shapetype>
          <v:shape id="_x0000_s1027" type="#_x0000_t202" style="position:absolute;left:0;text-align:left;margin-left:.5pt;margin-top:49.75pt;width:462.45pt;height:45.5pt;z-index:251661312;mso-width-relative:margin;mso-height-relative:margin" fillcolor="white [3201]" strokecolor="#4bacc6 [3208]" strokeweight="1pt">
            <v:stroke dashstyle="dash"/>
            <v:shadow color="#868686"/>
            <v:textbox style="mso-next-textbox:#_x0000_s1027">
              <w:txbxContent>
                <w:p w:rsidR="006E5152" w:rsidRPr="001D0B8F" w:rsidRDefault="006E5152" w:rsidP="006E5152">
                  <w:r>
                    <w:rPr>
                      <w:rFonts w:cs="Cambria"/>
                      <w:bCs/>
                      <w:color w:val="1F497D"/>
                    </w:rPr>
                    <w:t xml:space="preserve">Eine Eigenschaft der Schwefelsäure, die hygroskopische Wirkung, soll in diesem Versuch untersucht werden.  </w:t>
                  </w:r>
                </w:p>
              </w:txbxContent>
            </v:textbox>
            <w10:wrap type="square"/>
          </v:shape>
        </w:pict>
      </w:r>
      <w:r>
        <w:rPr>
          <w:noProof/>
          <w:lang w:eastAsia="de-DE"/>
        </w:rPr>
        <w:t xml:space="preserve">V 4 </w:t>
      </w:r>
      <w:r>
        <w:rPr>
          <w:rFonts w:cs="Cambria"/>
          <w:bCs w:val="0"/>
          <w:color w:val="1D1B11"/>
        </w:rPr>
        <w:t>–</w:t>
      </w:r>
      <w:r>
        <w:rPr>
          <w:noProof/>
          <w:lang w:eastAsia="de-DE"/>
        </w:rPr>
        <w:t xml:space="preserve"> </w:t>
      </w:r>
      <w:r w:rsidRPr="00D37E43">
        <w:rPr>
          <w:noProof/>
          <w:lang w:eastAsia="de-DE"/>
        </w:rPr>
        <w:t>Hygroskopische Wirkung der Schwefelsäure</w:t>
      </w:r>
      <w:bookmarkEnd w:id="0"/>
    </w:p>
    <w:p w:rsidR="006E5152" w:rsidRPr="006E5152" w:rsidRDefault="006E5152" w:rsidP="006E5152">
      <w:pPr>
        <w:rPr>
          <w:lang w:eastAsia="de-DE"/>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6E5152" w:rsidRPr="009C5E28" w:rsidTr="00C64E58">
        <w:tc>
          <w:tcPr>
            <w:tcW w:w="9322" w:type="dxa"/>
            <w:gridSpan w:val="9"/>
            <w:shd w:val="clear" w:color="auto" w:fill="4F81BD"/>
            <w:vAlign w:val="center"/>
          </w:tcPr>
          <w:p w:rsidR="006E5152" w:rsidRPr="009C5E28" w:rsidRDefault="006E5152" w:rsidP="00C64E58">
            <w:pPr>
              <w:spacing w:after="0"/>
              <w:jc w:val="center"/>
              <w:rPr>
                <w:b/>
                <w:bCs/>
              </w:rPr>
            </w:pPr>
            <w:r w:rsidRPr="009C5E28">
              <w:rPr>
                <w:b/>
                <w:bCs/>
              </w:rPr>
              <w:t>Gefahrenstoffe</w:t>
            </w:r>
          </w:p>
        </w:tc>
      </w:tr>
      <w:tr w:rsidR="006E5152" w:rsidRPr="009C5E28" w:rsidTr="00C64E5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6E5152" w:rsidRDefault="006E5152" w:rsidP="00C64E58">
            <w:pPr>
              <w:autoSpaceDE w:val="0"/>
              <w:autoSpaceDN w:val="0"/>
              <w:adjustRightInd w:val="0"/>
              <w:spacing w:after="0" w:line="276" w:lineRule="auto"/>
              <w:jc w:val="center"/>
              <w:rPr>
                <w:rFonts w:ascii="Calibri" w:hAnsi="Calibri" w:cs="Calibri"/>
                <w:color w:val="auto"/>
              </w:rPr>
            </w:pPr>
            <w:r>
              <w:rPr>
                <w:rFonts w:cs="Cambria"/>
                <w:color w:val="1D1B11"/>
                <w:sz w:val="20"/>
                <w:szCs w:val="20"/>
              </w:rPr>
              <w:t>Konzentrierte Schwefelsäure</w:t>
            </w:r>
          </w:p>
        </w:tc>
        <w:tc>
          <w:tcPr>
            <w:tcW w:w="3177" w:type="dxa"/>
            <w:gridSpan w:val="3"/>
            <w:tcBorders>
              <w:top w:val="single" w:sz="8" w:space="0" w:color="4F81BD"/>
              <w:bottom w:val="single" w:sz="8" w:space="0" w:color="4F81BD"/>
            </w:tcBorders>
            <w:shd w:val="clear" w:color="auto" w:fill="auto"/>
            <w:vAlign w:val="center"/>
          </w:tcPr>
          <w:p w:rsidR="006E5152" w:rsidRDefault="006E5152" w:rsidP="00C64E58">
            <w:pPr>
              <w:autoSpaceDE w:val="0"/>
              <w:autoSpaceDN w:val="0"/>
              <w:adjustRightInd w:val="0"/>
              <w:spacing w:after="0"/>
              <w:jc w:val="center"/>
              <w:rPr>
                <w:rFonts w:ascii="Calibri" w:hAnsi="Calibri" w:cs="Calibri"/>
                <w:color w:val="auto"/>
              </w:rPr>
            </w:pPr>
            <w:r>
              <w:rPr>
                <w:rFonts w:cs="Cambria"/>
                <w:color w:val="1D1B11"/>
              </w:rPr>
              <w:t xml:space="preserve">H: 314+290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6E5152" w:rsidRDefault="006E5152" w:rsidP="00C64E58">
            <w:pPr>
              <w:autoSpaceDE w:val="0"/>
              <w:autoSpaceDN w:val="0"/>
              <w:adjustRightInd w:val="0"/>
              <w:spacing w:after="0"/>
              <w:jc w:val="center"/>
              <w:rPr>
                <w:rFonts w:ascii="Calibri" w:hAnsi="Calibri" w:cs="Calibri"/>
                <w:color w:val="auto"/>
              </w:rPr>
            </w:pPr>
            <w:r>
              <w:rPr>
                <w:rFonts w:cs="Cambria"/>
                <w:color w:val="1D1B11"/>
                <w:sz w:val="20"/>
                <w:szCs w:val="20"/>
              </w:rPr>
              <w:t>P:280+301+330+331+305+351+338+309+310</w:t>
            </w:r>
          </w:p>
        </w:tc>
      </w:tr>
      <w:tr w:rsidR="006E5152" w:rsidRPr="009C5E28" w:rsidTr="00C64E58">
        <w:trPr>
          <w:trHeight w:val="434"/>
        </w:trPr>
        <w:tc>
          <w:tcPr>
            <w:tcW w:w="3027" w:type="dxa"/>
            <w:gridSpan w:val="3"/>
            <w:shd w:val="clear" w:color="auto" w:fill="auto"/>
            <w:vAlign w:val="center"/>
          </w:tcPr>
          <w:p w:rsidR="006E5152" w:rsidRDefault="006E5152" w:rsidP="00C64E58">
            <w:pPr>
              <w:autoSpaceDE w:val="0"/>
              <w:autoSpaceDN w:val="0"/>
              <w:adjustRightInd w:val="0"/>
              <w:spacing w:after="0" w:line="276" w:lineRule="auto"/>
              <w:jc w:val="center"/>
              <w:rPr>
                <w:rFonts w:ascii="Calibri" w:hAnsi="Calibri" w:cs="Calibri"/>
                <w:color w:val="auto"/>
              </w:rPr>
            </w:pPr>
            <w:r>
              <w:rPr>
                <w:rFonts w:cs="Cambria"/>
                <w:color w:val="auto"/>
                <w:sz w:val="20"/>
                <w:szCs w:val="20"/>
              </w:rPr>
              <w:t>Kupfersulfat</w:t>
            </w:r>
          </w:p>
        </w:tc>
        <w:tc>
          <w:tcPr>
            <w:tcW w:w="3177" w:type="dxa"/>
            <w:gridSpan w:val="3"/>
            <w:shd w:val="clear" w:color="auto" w:fill="auto"/>
            <w:vAlign w:val="center"/>
          </w:tcPr>
          <w:p w:rsidR="006E5152" w:rsidRDefault="006E5152" w:rsidP="00C64E58">
            <w:pPr>
              <w:autoSpaceDE w:val="0"/>
              <w:autoSpaceDN w:val="0"/>
              <w:adjustRightInd w:val="0"/>
              <w:spacing w:after="0" w:line="240" w:lineRule="auto"/>
              <w:jc w:val="center"/>
              <w:rPr>
                <w:rFonts w:ascii="Calibri" w:hAnsi="Calibri" w:cs="Calibri"/>
                <w:color w:val="auto"/>
              </w:rPr>
            </w:pPr>
            <w:r>
              <w:rPr>
                <w:rFonts w:cs="Cambria"/>
                <w:color w:val="auto"/>
                <w:sz w:val="20"/>
                <w:szCs w:val="20"/>
              </w:rPr>
              <w:t xml:space="preserve">H: 302+315+319+410    </w:t>
            </w:r>
          </w:p>
        </w:tc>
        <w:tc>
          <w:tcPr>
            <w:tcW w:w="3118" w:type="dxa"/>
            <w:gridSpan w:val="3"/>
            <w:shd w:val="clear" w:color="auto" w:fill="auto"/>
            <w:vAlign w:val="center"/>
          </w:tcPr>
          <w:p w:rsidR="006E5152" w:rsidRDefault="006E5152" w:rsidP="00C64E58">
            <w:pPr>
              <w:autoSpaceDE w:val="0"/>
              <w:autoSpaceDN w:val="0"/>
              <w:adjustRightInd w:val="0"/>
              <w:spacing w:after="0" w:line="240" w:lineRule="auto"/>
              <w:jc w:val="center"/>
              <w:rPr>
                <w:rFonts w:ascii="Calibri" w:hAnsi="Calibri" w:cs="Calibri"/>
                <w:color w:val="auto"/>
              </w:rPr>
            </w:pPr>
            <w:r>
              <w:rPr>
                <w:rFonts w:cs="Cambria"/>
                <w:color w:val="auto"/>
                <w:sz w:val="20"/>
                <w:szCs w:val="20"/>
              </w:rPr>
              <w:t>P: 273+305+351+338 302+352</w:t>
            </w:r>
          </w:p>
        </w:tc>
      </w:tr>
      <w:tr w:rsidR="006E5152" w:rsidRPr="009C5E28" w:rsidTr="00C64E58">
        <w:tc>
          <w:tcPr>
            <w:tcW w:w="1009" w:type="dxa"/>
            <w:tcBorders>
              <w:top w:val="single" w:sz="8" w:space="0" w:color="4F81BD"/>
              <w:left w:val="single" w:sz="8" w:space="0" w:color="4F81BD"/>
              <w:bottom w:val="single" w:sz="8" w:space="0" w:color="4F81BD"/>
            </w:tcBorders>
            <w:shd w:val="clear" w:color="auto" w:fill="auto"/>
            <w:vAlign w:val="center"/>
          </w:tcPr>
          <w:p w:rsidR="006E5152" w:rsidRPr="009C5E28" w:rsidRDefault="006E5152" w:rsidP="00C64E58">
            <w:pPr>
              <w:spacing w:after="0"/>
              <w:jc w:val="center"/>
              <w:rPr>
                <w:b/>
                <w:bCs/>
              </w:rPr>
            </w:pPr>
            <w:r>
              <w:rPr>
                <w:b/>
                <w:noProof/>
                <w:lang w:eastAsia="de-DE"/>
              </w:rPr>
              <w:drawing>
                <wp:inline distT="0" distB="0" distL="0" distR="0">
                  <wp:extent cx="504190" cy="504190"/>
                  <wp:effectExtent l="0" t="0" r="0" b="0"/>
                  <wp:docPr id="62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E5152" w:rsidRPr="009C5E28" w:rsidRDefault="006E5152" w:rsidP="00C64E58">
            <w:pPr>
              <w:spacing w:after="0"/>
              <w:jc w:val="center"/>
            </w:pPr>
            <w:r>
              <w:rPr>
                <w:noProof/>
                <w:lang w:eastAsia="de-DE"/>
              </w:rPr>
              <w:drawing>
                <wp:inline distT="0" distB="0" distL="0" distR="0">
                  <wp:extent cx="504190" cy="504190"/>
                  <wp:effectExtent l="0" t="0" r="0" b="0"/>
                  <wp:docPr id="62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E5152" w:rsidRPr="009C5E28" w:rsidRDefault="006E5152" w:rsidP="00C64E58">
            <w:pPr>
              <w:spacing w:after="0"/>
              <w:jc w:val="center"/>
            </w:pPr>
            <w:r>
              <w:rPr>
                <w:noProof/>
                <w:lang w:eastAsia="de-DE"/>
              </w:rPr>
              <w:drawing>
                <wp:inline distT="0" distB="0" distL="0" distR="0">
                  <wp:extent cx="504190" cy="504190"/>
                  <wp:effectExtent l="0" t="0" r="0" b="0"/>
                  <wp:docPr id="62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E5152" w:rsidRPr="009C5E28" w:rsidRDefault="006E5152" w:rsidP="00C64E58">
            <w:pPr>
              <w:spacing w:after="0"/>
              <w:jc w:val="center"/>
            </w:pPr>
            <w:r>
              <w:rPr>
                <w:noProof/>
                <w:lang w:eastAsia="de-DE"/>
              </w:rPr>
              <w:drawing>
                <wp:inline distT="0" distB="0" distL="0" distR="0">
                  <wp:extent cx="504190" cy="504190"/>
                  <wp:effectExtent l="0" t="0" r="0" b="0"/>
                  <wp:docPr id="62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6E5152" w:rsidRPr="009C5E28" w:rsidRDefault="006E5152" w:rsidP="00C64E58">
            <w:pPr>
              <w:spacing w:after="0"/>
              <w:jc w:val="center"/>
            </w:pPr>
            <w:r>
              <w:rPr>
                <w:noProof/>
                <w:lang w:eastAsia="de-DE"/>
              </w:rPr>
              <w:drawing>
                <wp:inline distT="0" distB="0" distL="0" distR="0">
                  <wp:extent cx="504190" cy="504190"/>
                  <wp:effectExtent l="0" t="0" r="0" b="0"/>
                  <wp:docPr id="62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6E5152" w:rsidRPr="009C5E28" w:rsidRDefault="006E5152" w:rsidP="00C64E58">
            <w:pPr>
              <w:spacing w:after="0"/>
              <w:jc w:val="center"/>
            </w:pPr>
            <w:r>
              <w:rPr>
                <w:noProof/>
                <w:lang w:eastAsia="de-DE"/>
              </w:rPr>
              <w:drawing>
                <wp:inline distT="0" distB="0" distL="0" distR="0">
                  <wp:extent cx="504190" cy="504190"/>
                  <wp:effectExtent l="0" t="0" r="0" b="0"/>
                  <wp:docPr id="62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6E5152" w:rsidRPr="009C5E28" w:rsidRDefault="006E5152" w:rsidP="00C64E58">
            <w:pPr>
              <w:spacing w:after="0"/>
              <w:jc w:val="center"/>
            </w:pPr>
            <w:r>
              <w:rPr>
                <w:noProof/>
                <w:lang w:eastAsia="de-DE"/>
              </w:rPr>
              <w:drawing>
                <wp:inline distT="0" distB="0" distL="0" distR="0">
                  <wp:extent cx="504190" cy="504190"/>
                  <wp:effectExtent l="0" t="0" r="0" b="0"/>
                  <wp:docPr id="63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E5152" w:rsidRPr="009C5E28" w:rsidRDefault="006E5152" w:rsidP="00C64E58">
            <w:pPr>
              <w:spacing w:after="0"/>
              <w:jc w:val="center"/>
            </w:pPr>
            <w:r>
              <w:rPr>
                <w:rFonts w:ascii="Calibri" w:hAnsi="Calibri" w:cs="Calibri"/>
                <w:noProof/>
                <w:color w:val="auto"/>
                <w:lang w:eastAsia="de-DE"/>
              </w:rPr>
              <w:drawing>
                <wp:inline distT="0" distB="0" distL="0" distR="0">
                  <wp:extent cx="534670" cy="534670"/>
                  <wp:effectExtent l="19050" t="0" r="0" b="0"/>
                  <wp:docPr id="631" name="Bild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2" cstate="print"/>
                          <a:srcRect/>
                          <a:stretch>
                            <a:fillRect/>
                          </a:stretch>
                        </pic:blipFill>
                        <pic:spPr bwMode="auto">
                          <a:xfrm>
                            <a:off x="0" y="0"/>
                            <a:ext cx="534670" cy="5346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6E5152" w:rsidRPr="009C5E28" w:rsidRDefault="006E5152" w:rsidP="00C64E58">
            <w:pPr>
              <w:spacing w:after="0"/>
              <w:jc w:val="center"/>
            </w:pPr>
            <w:r w:rsidRPr="00686BA4">
              <w:rPr>
                <w:noProof/>
                <w:lang w:eastAsia="de-DE"/>
              </w:rPr>
              <w:drawing>
                <wp:inline distT="0" distB="0" distL="0" distR="0">
                  <wp:extent cx="543560" cy="543560"/>
                  <wp:effectExtent l="19050" t="0" r="8890" b="0"/>
                  <wp:docPr id="632" name="Bild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3" cstate="print"/>
                          <a:srcRect/>
                          <a:stretch>
                            <a:fillRect/>
                          </a:stretch>
                        </pic:blipFill>
                        <pic:spPr bwMode="auto">
                          <a:xfrm>
                            <a:off x="0" y="0"/>
                            <a:ext cx="543560" cy="543560"/>
                          </a:xfrm>
                          <a:prstGeom prst="rect">
                            <a:avLst/>
                          </a:prstGeom>
                          <a:noFill/>
                          <a:ln w="9525">
                            <a:noFill/>
                            <a:miter lim="800000"/>
                            <a:headEnd/>
                            <a:tailEnd/>
                          </a:ln>
                        </pic:spPr>
                      </pic:pic>
                    </a:graphicData>
                  </a:graphic>
                </wp:inline>
              </w:drawing>
            </w:r>
          </w:p>
        </w:tc>
      </w:tr>
    </w:tbl>
    <w:p w:rsidR="006E5152" w:rsidRDefault="006E5152" w:rsidP="006E5152">
      <w:pPr>
        <w:tabs>
          <w:tab w:val="left" w:pos="1701"/>
          <w:tab w:val="left" w:pos="1985"/>
        </w:tabs>
      </w:pPr>
    </w:p>
    <w:p w:rsidR="006E5152" w:rsidRDefault="006E5152" w:rsidP="006E5152">
      <w:pPr>
        <w:tabs>
          <w:tab w:val="left" w:pos="1701"/>
          <w:tab w:val="left" w:pos="1985"/>
        </w:tabs>
        <w:autoSpaceDE w:val="0"/>
        <w:autoSpaceDN w:val="0"/>
        <w:adjustRightInd w:val="0"/>
        <w:ind w:left="1980" w:hanging="1980"/>
        <w:rPr>
          <w:rFonts w:cs="Cambria"/>
          <w:color w:val="1D1B11"/>
        </w:rPr>
      </w:pPr>
      <w:r>
        <w:rPr>
          <w:rFonts w:cs="Cambria"/>
          <w:color w:val="1D1B11"/>
        </w:rPr>
        <w:t xml:space="preserve">Materialien: </w:t>
      </w:r>
      <w:r>
        <w:rPr>
          <w:rFonts w:cs="Cambria"/>
          <w:color w:val="1D1B11"/>
        </w:rPr>
        <w:tab/>
      </w:r>
      <w:r>
        <w:rPr>
          <w:rFonts w:cs="Cambria"/>
          <w:color w:val="1D1B11"/>
        </w:rPr>
        <w:tab/>
        <w:t xml:space="preserve">Reagenzglas, Bunsenbrenner, Becherglas </w:t>
      </w:r>
    </w:p>
    <w:p w:rsidR="006E5152" w:rsidRDefault="006E5152" w:rsidP="006E5152">
      <w:pPr>
        <w:tabs>
          <w:tab w:val="left" w:pos="1701"/>
          <w:tab w:val="left" w:pos="1985"/>
        </w:tabs>
        <w:autoSpaceDE w:val="0"/>
        <w:autoSpaceDN w:val="0"/>
        <w:adjustRightInd w:val="0"/>
        <w:ind w:left="1980" w:hanging="1980"/>
        <w:rPr>
          <w:rFonts w:cs="Cambria"/>
          <w:color w:val="1D1B11"/>
        </w:rPr>
      </w:pPr>
      <w:r>
        <w:rPr>
          <w:rFonts w:cs="Cambria"/>
          <w:color w:val="1D1B11"/>
        </w:rPr>
        <w:t>Chemikalien:</w:t>
      </w:r>
      <w:r>
        <w:rPr>
          <w:rFonts w:cs="Cambria"/>
          <w:color w:val="1D1B11"/>
        </w:rPr>
        <w:tab/>
      </w:r>
      <w:r>
        <w:rPr>
          <w:rFonts w:cs="Cambria"/>
          <w:color w:val="1D1B11"/>
        </w:rPr>
        <w:tab/>
        <w:t xml:space="preserve">Zucker, konzentrierte Schwefelsäure, Kupfersulfat, </w:t>
      </w:r>
    </w:p>
    <w:p w:rsidR="006E5152" w:rsidRDefault="006E5152" w:rsidP="006E5152">
      <w:pPr>
        <w:tabs>
          <w:tab w:val="left" w:pos="1701"/>
          <w:tab w:val="left" w:pos="1985"/>
        </w:tabs>
        <w:autoSpaceDE w:val="0"/>
        <w:autoSpaceDN w:val="0"/>
        <w:adjustRightInd w:val="0"/>
        <w:ind w:left="1980" w:hanging="1980"/>
        <w:rPr>
          <w:rFonts w:cs="Cambria"/>
          <w:color w:val="1D1B11"/>
        </w:rPr>
      </w:pPr>
      <w:r>
        <w:rPr>
          <w:rFonts w:cs="Cambria"/>
          <w:color w:val="1D1B11"/>
        </w:rPr>
        <w:t xml:space="preserve">Durchführung: </w:t>
      </w:r>
      <w:r>
        <w:rPr>
          <w:rFonts w:cs="Cambria"/>
          <w:color w:val="1D1B11"/>
        </w:rPr>
        <w:tab/>
      </w:r>
      <w:r>
        <w:rPr>
          <w:rFonts w:cs="Cambria"/>
          <w:color w:val="1D1B11"/>
        </w:rPr>
        <w:tab/>
        <w:t xml:space="preserve">1. Es wird konzentrierte Schwefelsäure auf ein Stück Zucker gegeben, das in einem Becherglas liegt. </w:t>
      </w:r>
    </w:p>
    <w:p w:rsidR="006E5152" w:rsidRDefault="006E5152" w:rsidP="006E5152">
      <w:pPr>
        <w:tabs>
          <w:tab w:val="left" w:pos="1701"/>
          <w:tab w:val="left" w:pos="1985"/>
        </w:tabs>
        <w:autoSpaceDE w:val="0"/>
        <w:autoSpaceDN w:val="0"/>
        <w:adjustRightInd w:val="0"/>
        <w:ind w:left="1980" w:hanging="1980"/>
        <w:rPr>
          <w:rFonts w:cs="Cambria"/>
          <w:color w:val="1D1B11"/>
        </w:rPr>
      </w:pPr>
      <w:r>
        <w:rPr>
          <w:rFonts w:cs="Cambria"/>
          <w:color w:val="1D1B11"/>
        </w:rPr>
        <w:tab/>
      </w:r>
      <w:r>
        <w:rPr>
          <w:rFonts w:cs="Cambria"/>
          <w:color w:val="1D1B11"/>
        </w:rPr>
        <w:tab/>
        <w:t>2. Es wird wasserfreies Kupfersulfat in einem Reagenzglas mit zwei Tro</w:t>
      </w:r>
      <w:r>
        <w:rPr>
          <w:rFonts w:cs="Cambria"/>
          <w:color w:val="1D1B11"/>
        </w:rPr>
        <w:t>p</w:t>
      </w:r>
      <w:r>
        <w:rPr>
          <w:rFonts w:cs="Cambria"/>
          <w:color w:val="1D1B11"/>
        </w:rPr>
        <w:t>fen Wasser gegeben. Dann wird das Reagenzglas vorsichtig unter Schütteln erhitzt. Nun werden zwei Tropfen Wasser auf das Kupfersulfat gegeben. Danach werden etwa 3 cm konzentrierte Schwefelsäure auf das Kupfersu</w:t>
      </w:r>
      <w:r>
        <w:rPr>
          <w:rFonts w:cs="Cambria"/>
          <w:color w:val="1D1B11"/>
        </w:rPr>
        <w:t>l</w:t>
      </w:r>
      <w:r>
        <w:rPr>
          <w:rFonts w:cs="Cambria"/>
          <w:color w:val="1D1B11"/>
        </w:rPr>
        <w:t xml:space="preserve">fat gegeben und das Reagenzglas wird etwas geschüttelt. </w:t>
      </w:r>
    </w:p>
    <w:p w:rsidR="006E5152" w:rsidRDefault="006E5152" w:rsidP="006E5152">
      <w:pPr>
        <w:tabs>
          <w:tab w:val="left" w:pos="1701"/>
          <w:tab w:val="left" w:pos="1985"/>
        </w:tabs>
        <w:autoSpaceDE w:val="0"/>
        <w:autoSpaceDN w:val="0"/>
        <w:adjustRightInd w:val="0"/>
        <w:ind w:left="1980" w:hanging="1980"/>
        <w:rPr>
          <w:rFonts w:cs="Cambria"/>
          <w:color w:val="1D1B11"/>
        </w:rPr>
      </w:pPr>
      <w:r>
        <w:rPr>
          <w:rFonts w:cs="Cambria"/>
          <w:color w:val="1D1B11"/>
        </w:rPr>
        <w:t>Beobachtung:</w:t>
      </w:r>
      <w:r>
        <w:rPr>
          <w:rFonts w:cs="Cambria"/>
          <w:color w:val="1D1B11"/>
        </w:rPr>
        <w:tab/>
      </w:r>
      <w:r>
        <w:rPr>
          <w:rFonts w:cs="Cambria"/>
          <w:color w:val="1D1B11"/>
        </w:rPr>
        <w:tab/>
        <w:t>1. Die Schwefelsäure entzieht dem Zucker das Wasser, sodass der Zucker zur Kohle reduziert wird.</w:t>
      </w:r>
    </w:p>
    <w:p w:rsidR="006E5152" w:rsidRDefault="006E5152" w:rsidP="006E5152">
      <w:pPr>
        <w:tabs>
          <w:tab w:val="left" w:pos="1701"/>
          <w:tab w:val="left" w:pos="1985"/>
        </w:tabs>
        <w:autoSpaceDE w:val="0"/>
        <w:autoSpaceDN w:val="0"/>
        <w:adjustRightInd w:val="0"/>
        <w:ind w:left="1980" w:hanging="1980"/>
        <w:rPr>
          <w:rFonts w:cs="Cambria"/>
          <w:color w:val="1D1B11"/>
        </w:rPr>
      </w:pPr>
      <w:r>
        <w:rPr>
          <w:rFonts w:cs="Cambria"/>
          <w:color w:val="1D1B11"/>
        </w:rPr>
        <w:tab/>
      </w:r>
      <w:r>
        <w:rPr>
          <w:rFonts w:cs="Cambria"/>
          <w:color w:val="1D1B11"/>
        </w:rPr>
        <w:tab/>
        <w:t>2. Das weiße wasserfreie Kupfersulfat färbt sich bei Zugabe von Wasser blau und ist nach dem Erhitzen wieder weiß. Wenn zu dem erneut blauen Kupfersulfat die Schwefelsäure gegeben wird, wird das Kupfersulfat wieder weiß.</w:t>
      </w:r>
    </w:p>
    <w:p w:rsidR="006E5152" w:rsidRDefault="006E5152" w:rsidP="006E5152">
      <w:pPr>
        <w:keepNext/>
        <w:tabs>
          <w:tab w:val="left" w:pos="1701"/>
          <w:tab w:val="left" w:pos="1985"/>
        </w:tabs>
        <w:ind w:left="1980" w:hanging="1980"/>
      </w:pPr>
      <w:r>
        <w:rPr>
          <w:noProof/>
          <w:lang w:eastAsia="de-DE"/>
        </w:rPr>
        <w:lastRenderedPageBreak/>
        <w:drawing>
          <wp:anchor distT="0" distB="0" distL="114300" distR="114300" simplePos="0" relativeHeight="251659264" behindDoc="0" locked="0" layoutInCell="1" allowOverlap="1">
            <wp:simplePos x="0" y="0"/>
            <wp:positionH relativeFrom="column">
              <wp:posOffset>17780</wp:posOffset>
            </wp:positionH>
            <wp:positionV relativeFrom="paragraph">
              <wp:posOffset>-143510</wp:posOffset>
            </wp:positionV>
            <wp:extent cx="5761355" cy="1891665"/>
            <wp:effectExtent l="19050" t="0" r="0" b="0"/>
            <wp:wrapNone/>
            <wp:docPr id="14" name="Bild 14" descr="C:\Users\noraa\Documents\SVP Chemie\Schwefel\Zu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oraa\Documents\SVP Chemie\Schwefel\Zucker.png"/>
                    <pic:cNvPicPr>
                      <a:picLocks noChangeAspect="1" noChangeArrowheads="1"/>
                    </pic:cNvPicPr>
                  </pic:nvPicPr>
                  <pic:blipFill>
                    <a:blip r:embed="rId14" cstate="print"/>
                    <a:srcRect/>
                    <a:stretch>
                      <a:fillRect/>
                    </a:stretch>
                  </pic:blipFill>
                  <pic:spPr bwMode="auto">
                    <a:xfrm>
                      <a:off x="0" y="0"/>
                      <a:ext cx="5761355" cy="1891665"/>
                    </a:xfrm>
                    <a:prstGeom prst="rect">
                      <a:avLst/>
                    </a:prstGeom>
                    <a:noFill/>
                    <a:ln w="9525">
                      <a:noFill/>
                      <a:miter lim="800000"/>
                      <a:headEnd/>
                      <a:tailEnd/>
                    </a:ln>
                  </pic:spPr>
                </pic:pic>
              </a:graphicData>
            </a:graphic>
          </wp:anchor>
        </w:drawing>
      </w:r>
    </w:p>
    <w:p w:rsidR="006E5152" w:rsidRDefault="006E5152" w:rsidP="006E5152">
      <w:pPr>
        <w:keepNext/>
        <w:tabs>
          <w:tab w:val="left" w:pos="1701"/>
          <w:tab w:val="left" w:pos="1985"/>
        </w:tabs>
        <w:ind w:left="1980" w:hanging="1980"/>
      </w:pPr>
    </w:p>
    <w:p w:rsidR="006E5152" w:rsidRDefault="006E5152" w:rsidP="006E5152">
      <w:pPr>
        <w:keepNext/>
        <w:tabs>
          <w:tab w:val="left" w:pos="1701"/>
          <w:tab w:val="left" w:pos="1985"/>
        </w:tabs>
        <w:ind w:left="1980" w:hanging="1980"/>
      </w:pPr>
    </w:p>
    <w:p w:rsidR="006E5152" w:rsidRDefault="006E5152" w:rsidP="006E5152">
      <w:pPr>
        <w:keepNext/>
        <w:tabs>
          <w:tab w:val="left" w:pos="1701"/>
          <w:tab w:val="left" w:pos="1985"/>
        </w:tabs>
        <w:ind w:left="1980" w:hanging="1980"/>
      </w:pPr>
    </w:p>
    <w:p w:rsidR="006E5152" w:rsidRDefault="006E5152" w:rsidP="006E5152">
      <w:pPr>
        <w:keepNext/>
        <w:tabs>
          <w:tab w:val="left" w:pos="1701"/>
          <w:tab w:val="left" w:pos="1985"/>
        </w:tabs>
        <w:ind w:left="1980" w:hanging="1980"/>
      </w:pPr>
    </w:p>
    <w:p w:rsidR="006E5152" w:rsidRDefault="006E5152" w:rsidP="006E5152">
      <w:pPr>
        <w:autoSpaceDE w:val="0"/>
        <w:autoSpaceDN w:val="0"/>
        <w:adjustRightInd w:val="0"/>
        <w:spacing w:line="240" w:lineRule="auto"/>
        <w:jc w:val="left"/>
        <w:rPr>
          <w:rFonts w:cs="Cambria"/>
          <w:color w:val="auto"/>
          <w:sz w:val="18"/>
          <w:szCs w:val="18"/>
        </w:rPr>
      </w:pPr>
      <w:r>
        <w:rPr>
          <w:rFonts w:cs="Cambria"/>
          <w:color w:val="auto"/>
          <w:sz w:val="18"/>
          <w:szCs w:val="18"/>
        </w:rPr>
        <w:t>Abb. 5 -  Der Zucker mit Schwefelsäure direkt nach der Zugabe und nach einiger Zeit.</w:t>
      </w:r>
    </w:p>
    <w:p w:rsidR="006E5152" w:rsidRDefault="006E5152" w:rsidP="006E5152">
      <w:pPr>
        <w:tabs>
          <w:tab w:val="left" w:pos="1701"/>
          <w:tab w:val="left" w:pos="1985"/>
        </w:tabs>
        <w:ind w:left="1980" w:hanging="1980"/>
      </w:pPr>
    </w:p>
    <w:p w:rsidR="006E5152" w:rsidRDefault="006E5152" w:rsidP="006E5152">
      <w:pPr>
        <w:tabs>
          <w:tab w:val="left" w:pos="1701"/>
          <w:tab w:val="left" w:pos="1985"/>
        </w:tabs>
        <w:ind w:left="1980" w:hanging="1980"/>
      </w:pPr>
      <w:r>
        <w:rPr>
          <w:noProof/>
          <w:lang w:eastAsia="de-DE"/>
        </w:rPr>
        <w:drawing>
          <wp:anchor distT="0" distB="0" distL="114300" distR="114300" simplePos="0" relativeHeight="251660288" behindDoc="0" locked="0" layoutInCell="1" allowOverlap="1">
            <wp:simplePos x="0" y="0"/>
            <wp:positionH relativeFrom="column">
              <wp:posOffset>25029</wp:posOffset>
            </wp:positionH>
            <wp:positionV relativeFrom="paragraph">
              <wp:posOffset>53950</wp:posOffset>
            </wp:positionV>
            <wp:extent cx="5760648" cy="2061713"/>
            <wp:effectExtent l="19050" t="0" r="0" b="0"/>
            <wp:wrapNone/>
            <wp:docPr id="3" name="Bild 15" descr="C:\Users\noraa\Documents\SVP Chemie\Schwefel\Kufpersulf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oraa\Documents\SVP Chemie\Schwefel\Kufpersulfat.png"/>
                    <pic:cNvPicPr>
                      <a:picLocks noChangeAspect="1" noChangeArrowheads="1"/>
                    </pic:cNvPicPr>
                  </pic:nvPicPr>
                  <pic:blipFill>
                    <a:blip r:embed="rId15" cstate="print"/>
                    <a:srcRect/>
                    <a:stretch>
                      <a:fillRect/>
                    </a:stretch>
                  </pic:blipFill>
                  <pic:spPr bwMode="auto">
                    <a:xfrm>
                      <a:off x="0" y="0"/>
                      <a:ext cx="5760648" cy="2061713"/>
                    </a:xfrm>
                    <a:prstGeom prst="rect">
                      <a:avLst/>
                    </a:prstGeom>
                    <a:noFill/>
                    <a:ln w="9525">
                      <a:noFill/>
                      <a:miter lim="800000"/>
                      <a:headEnd/>
                      <a:tailEnd/>
                    </a:ln>
                  </pic:spPr>
                </pic:pic>
              </a:graphicData>
            </a:graphic>
          </wp:anchor>
        </w:drawing>
      </w:r>
    </w:p>
    <w:p w:rsidR="006E5152" w:rsidRDefault="006E5152" w:rsidP="006E5152">
      <w:pPr>
        <w:tabs>
          <w:tab w:val="left" w:pos="1701"/>
          <w:tab w:val="left" w:pos="1985"/>
        </w:tabs>
        <w:ind w:left="1980" w:hanging="1980"/>
      </w:pPr>
    </w:p>
    <w:p w:rsidR="006E5152" w:rsidRDefault="006E5152" w:rsidP="006E5152">
      <w:pPr>
        <w:tabs>
          <w:tab w:val="left" w:pos="1701"/>
          <w:tab w:val="left" w:pos="1985"/>
        </w:tabs>
        <w:ind w:left="1980" w:hanging="1980"/>
      </w:pPr>
    </w:p>
    <w:p w:rsidR="006E5152" w:rsidRDefault="006E5152" w:rsidP="006E5152">
      <w:pPr>
        <w:tabs>
          <w:tab w:val="left" w:pos="1701"/>
          <w:tab w:val="left" w:pos="1985"/>
        </w:tabs>
        <w:ind w:left="1980" w:hanging="1980"/>
      </w:pPr>
    </w:p>
    <w:p w:rsidR="006E5152" w:rsidRDefault="006E5152" w:rsidP="006E5152">
      <w:pPr>
        <w:tabs>
          <w:tab w:val="left" w:pos="1701"/>
          <w:tab w:val="left" w:pos="1985"/>
        </w:tabs>
        <w:ind w:left="1980" w:hanging="1980"/>
      </w:pPr>
    </w:p>
    <w:p w:rsidR="006E5152" w:rsidRDefault="006E5152" w:rsidP="006E5152">
      <w:pPr>
        <w:tabs>
          <w:tab w:val="left" w:pos="1701"/>
          <w:tab w:val="left" w:pos="1985"/>
        </w:tabs>
        <w:ind w:left="1980" w:hanging="1980"/>
      </w:pPr>
    </w:p>
    <w:p w:rsidR="006E5152" w:rsidRDefault="006E5152" w:rsidP="006E5152">
      <w:pPr>
        <w:autoSpaceDE w:val="0"/>
        <w:autoSpaceDN w:val="0"/>
        <w:adjustRightInd w:val="0"/>
        <w:spacing w:line="240" w:lineRule="auto"/>
        <w:jc w:val="left"/>
        <w:rPr>
          <w:rFonts w:cs="Cambria"/>
          <w:color w:val="auto"/>
          <w:sz w:val="18"/>
          <w:szCs w:val="18"/>
        </w:rPr>
      </w:pPr>
      <w:r>
        <w:rPr>
          <w:rFonts w:cs="Cambria"/>
          <w:color w:val="auto"/>
          <w:sz w:val="18"/>
          <w:szCs w:val="18"/>
        </w:rPr>
        <w:t xml:space="preserve">Abb. 6 -  Das wasserfreie Kupfersulfat (links) mit einem Tropfen Wasser (rechts).  </w:t>
      </w:r>
    </w:p>
    <w:p w:rsidR="006E5152" w:rsidRPr="004C1548" w:rsidRDefault="006E5152" w:rsidP="006E5152">
      <w:pPr>
        <w:autoSpaceDE w:val="0"/>
        <w:autoSpaceDN w:val="0"/>
        <w:adjustRightInd w:val="0"/>
        <w:spacing w:line="240" w:lineRule="auto"/>
        <w:jc w:val="left"/>
        <w:rPr>
          <w:rFonts w:cs="Cambria"/>
          <w:color w:val="auto"/>
          <w:sz w:val="18"/>
          <w:szCs w:val="18"/>
        </w:rPr>
      </w:pPr>
    </w:p>
    <w:p w:rsidR="006E5152" w:rsidRDefault="006E5152" w:rsidP="006E5152">
      <w:pPr>
        <w:tabs>
          <w:tab w:val="left" w:pos="1701"/>
          <w:tab w:val="left" w:pos="1985"/>
        </w:tabs>
        <w:autoSpaceDE w:val="0"/>
        <w:autoSpaceDN w:val="0"/>
        <w:adjustRightInd w:val="0"/>
        <w:ind w:left="1980" w:hanging="1980"/>
        <w:rPr>
          <w:rFonts w:cs="Cambria"/>
          <w:color w:val="1D1B11"/>
        </w:rPr>
      </w:pPr>
      <w:r>
        <w:rPr>
          <w:rFonts w:cs="Cambria"/>
          <w:color w:val="1D1B11"/>
        </w:rPr>
        <w:t>Deutung:</w:t>
      </w:r>
      <w:r>
        <w:rPr>
          <w:rFonts w:cs="Cambria"/>
          <w:color w:val="1D1B11"/>
        </w:rPr>
        <w:tab/>
      </w:r>
      <w:r>
        <w:rPr>
          <w:rFonts w:cs="Cambria"/>
          <w:color w:val="1D1B11"/>
        </w:rPr>
        <w:tab/>
        <w:t>Die Schwefelsäure ist hygroskopisch und entzieht dem Zucker und dem Kupfersulfat das Wasser.</w:t>
      </w:r>
    </w:p>
    <w:p w:rsidR="006E5152" w:rsidRDefault="006E5152" w:rsidP="006E5152">
      <w:pPr>
        <w:tabs>
          <w:tab w:val="left" w:pos="1701"/>
          <w:tab w:val="left" w:pos="1985"/>
        </w:tabs>
        <w:autoSpaceDE w:val="0"/>
        <w:autoSpaceDN w:val="0"/>
        <w:adjustRightInd w:val="0"/>
        <w:ind w:left="1980" w:hanging="1980"/>
        <w:rPr>
          <w:rFonts w:cs="Cambria"/>
          <w:color w:val="1D1B11"/>
          <w:vertAlign w:val="subscript"/>
        </w:rPr>
      </w:pPr>
      <w:r>
        <w:rPr>
          <w:rFonts w:cs="Cambria"/>
          <w:color w:val="1D1B11"/>
        </w:rPr>
        <w:tab/>
      </w:r>
      <w:r>
        <w:rPr>
          <w:rFonts w:cs="Cambria"/>
          <w:color w:val="1D1B11"/>
        </w:rPr>
        <w:tab/>
        <w:t>C</w:t>
      </w:r>
      <w:r>
        <w:rPr>
          <w:rFonts w:cs="Cambria"/>
          <w:color w:val="1D1B11"/>
          <w:vertAlign w:val="subscript"/>
        </w:rPr>
        <w:t>12</w:t>
      </w:r>
      <w:r>
        <w:rPr>
          <w:rFonts w:cs="Cambria"/>
          <w:color w:val="1D1B11"/>
        </w:rPr>
        <w:t>H</w:t>
      </w:r>
      <w:r>
        <w:rPr>
          <w:rFonts w:cs="Cambria"/>
          <w:color w:val="1D1B11"/>
          <w:vertAlign w:val="subscript"/>
        </w:rPr>
        <w:t>22</w:t>
      </w:r>
      <w:r>
        <w:rPr>
          <w:rFonts w:cs="Cambria"/>
          <w:color w:val="1D1B11"/>
        </w:rPr>
        <w:t>O</w:t>
      </w:r>
      <w:r>
        <w:rPr>
          <w:rFonts w:cs="Cambria"/>
          <w:color w:val="1D1B11"/>
          <w:vertAlign w:val="subscript"/>
        </w:rPr>
        <w:t xml:space="preserve">11(s) </w:t>
      </w:r>
      <w:r>
        <w:rPr>
          <w:rFonts w:cs="Cambria"/>
          <w:color w:val="1D1B11"/>
        </w:rPr>
        <w:t>+ H</w:t>
      </w:r>
      <w:r>
        <w:rPr>
          <w:rFonts w:cs="Cambria"/>
          <w:color w:val="1D1B11"/>
          <w:vertAlign w:val="subscript"/>
        </w:rPr>
        <w:t>2</w:t>
      </w:r>
      <w:r>
        <w:rPr>
          <w:rFonts w:cs="Cambria"/>
          <w:color w:val="1D1B11"/>
        </w:rPr>
        <w:t>SO</w:t>
      </w:r>
      <w:r>
        <w:rPr>
          <w:rFonts w:cs="Cambria"/>
          <w:color w:val="1D1B11"/>
          <w:vertAlign w:val="subscript"/>
        </w:rPr>
        <w:t>4(l)</w:t>
      </w:r>
      <w:r>
        <w:rPr>
          <w:rFonts w:cs="Cambria"/>
          <w:color w:val="1D1B11"/>
        </w:rPr>
        <w:t xml:space="preserve">  </w:t>
      </w:r>
      <w:r w:rsidRPr="00084AD5">
        <w:rPr>
          <w:rFonts w:cs="Cambria"/>
          <w:color w:val="1D1B11"/>
        </w:rPr>
        <w:sym w:font="Wingdings" w:char="F0E0"/>
      </w:r>
      <w:r>
        <w:rPr>
          <w:rFonts w:cs="Cambria"/>
          <w:color w:val="1D1B11"/>
        </w:rPr>
        <w:t xml:space="preserve"> 12 C + 2 H</w:t>
      </w:r>
      <w:r>
        <w:rPr>
          <w:rFonts w:cs="Cambria"/>
          <w:color w:val="1D1B11"/>
          <w:vertAlign w:val="superscript"/>
        </w:rPr>
        <w:t>+</w:t>
      </w:r>
      <w:r>
        <w:rPr>
          <w:rFonts w:cs="Cambria"/>
          <w:color w:val="1D1B11"/>
          <w:vertAlign w:val="subscript"/>
        </w:rPr>
        <w:t>(</w:t>
      </w:r>
      <w:proofErr w:type="spellStart"/>
      <w:r>
        <w:rPr>
          <w:rFonts w:cs="Cambria"/>
          <w:color w:val="1D1B11"/>
          <w:vertAlign w:val="subscript"/>
        </w:rPr>
        <w:t>aq</w:t>
      </w:r>
      <w:proofErr w:type="spellEnd"/>
      <w:r>
        <w:rPr>
          <w:rFonts w:cs="Cambria"/>
          <w:color w:val="1D1B11"/>
          <w:vertAlign w:val="subscript"/>
        </w:rPr>
        <w:t>)</w:t>
      </w:r>
      <w:r>
        <w:rPr>
          <w:rFonts w:cs="Cambria"/>
          <w:color w:val="1D1B11"/>
        </w:rPr>
        <w:t>+ SO</w:t>
      </w:r>
      <w:r>
        <w:rPr>
          <w:rFonts w:cs="Cambria"/>
          <w:color w:val="1D1B11"/>
          <w:vertAlign w:val="superscript"/>
        </w:rPr>
        <w:t>2-</w:t>
      </w:r>
      <w:r>
        <w:rPr>
          <w:rFonts w:cs="Cambria"/>
          <w:color w:val="1D1B11"/>
          <w:vertAlign w:val="subscript"/>
        </w:rPr>
        <w:t>(</w:t>
      </w:r>
      <w:proofErr w:type="spellStart"/>
      <w:r>
        <w:rPr>
          <w:rFonts w:cs="Cambria"/>
          <w:color w:val="1D1B11"/>
          <w:vertAlign w:val="subscript"/>
        </w:rPr>
        <w:t>aq</w:t>
      </w:r>
      <w:proofErr w:type="spellEnd"/>
      <w:r>
        <w:rPr>
          <w:rFonts w:cs="Cambria"/>
          <w:color w:val="1D1B11"/>
          <w:vertAlign w:val="subscript"/>
        </w:rPr>
        <w:t>)</w:t>
      </w:r>
      <w:r>
        <w:rPr>
          <w:rFonts w:cs="Cambria"/>
          <w:color w:val="1D1B11"/>
        </w:rPr>
        <w:t xml:space="preserve"> + 11 H</w:t>
      </w:r>
      <w:r>
        <w:rPr>
          <w:rFonts w:cs="Cambria"/>
          <w:color w:val="1D1B11"/>
          <w:vertAlign w:val="subscript"/>
        </w:rPr>
        <w:t>2</w:t>
      </w:r>
      <w:r>
        <w:rPr>
          <w:rFonts w:cs="Cambria"/>
          <w:color w:val="1D1B11"/>
        </w:rPr>
        <w:t>O</w:t>
      </w:r>
      <w:r>
        <w:rPr>
          <w:rFonts w:cs="Cambria"/>
          <w:color w:val="1D1B11"/>
          <w:vertAlign w:val="subscript"/>
        </w:rPr>
        <w:t>(l)</w:t>
      </w:r>
    </w:p>
    <w:p w:rsidR="006E5152" w:rsidRDefault="006E5152" w:rsidP="006E5152">
      <w:pPr>
        <w:tabs>
          <w:tab w:val="left" w:pos="1701"/>
          <w:tab w:val="left" w:pos="1985"/>
        </w:tabs>
        <w:autoSpaceDE w:val="0"/>
        <w:autoSpaceDN w:val="0"/>
        <w:adjustRightInd w:val="0"/>
        <w:spacing w:line="480" w:lineRule="auto"/>
        <w:ind w:left="1980" w:hanging="1980"/>
        <w:rPr>
          <w:rFonts w:cs="Cambria"/>
          <w:color w:val="1D1B11"/>
        </w:rPr>
      </w:pPr>
      <w:r>
        <w:rPr>
          <w:rFonts w:cs="Cambria"/>
          <w:color w:val="1D1B11"/>
        </w:rPr>
        <w:tab/>
      </w:r>
      <w:r>
        <w:rPr>
          <w:rFonts w:cs="Cambria"/>
          <w:color w:val="1D1B11"/>
        </w:rPr>
        <w:tab/>
        <w:t>CuSO</w:t>
      </w:r>
      <w:r>
        <w:rPr>
          <w:rFonts w:cs="Cambria"/>
          <w:color w:val="1D1B11"/>
          <w:vertAlign w:val="subscript"/>
        </w:rPr>
        <w:t>4</w:t>
      </w:r>
      <w:r>
        <w:rPr>
          <w:rFonts w:cs="Cambria"/>
          <w:color w:val="1D1B11"/>
        </w:rPr>
        <w:t xml:space="preserve">  5 H</w:t>
      </w:r>
      <w:r>
        <w:rPr>
          <w:rFonts w:cs="Cambria"/>
          <w:color w:val="1D1B11"/>
          <w:vertAlign w:val="subscript"/>
        </w:rPr>
        <w:t>2</w:t>
      </w:r>
      <w:r>
        <w:rPr>
          <w:rFonts w:cs="Cambria"/>
          <w:color w:val="1D1B11"/>
        </w:rPr>
        <w:t>O</w:t>
      </w:r>
      <w:r>
        <w:rPr>
          <w:rFonts w:cs="Cambria"/>
          <w:color w:val="1D1B11"/>
          <w:vertAlign w:val="subscript"/>
        </w:rPr>
        <w:t>(l)</w:t>
      </w:r>
      <w:r>
        <w:rPr>
          <w:rFonts w:cs="Cambria"/>
          <w:color w:val="1D1B11"/>
        </w:rPr>
        <w:t xml:space="preserve"> + H</w:t>
      </w:r>
      <w:r>
        <w:rPr>
          <w:rFonts w:cs="Cambria"/>
          <w:color w:val="1D1B11"/>
          <w:vertAlign w:val="subscript"/>
        </w:rPr>
        <w:t>2</w:t>
      </w:r>
      <w:r>
        <w:rPr>
          <w:rFonts w:cs="Cambria"/>
          <w:color w:val="1D1B11"/>
        </w:rPr>
        <w:t>SO</w:t>
      </w:r>
      <w:r>
        <w:rPr>
          <w:rFonts w:cs="Cambria"/>
          <w:color w:val="1D1B11"/>
          <w:vertAlign w:val="subscript"/>
        </w:rPr>
        <w:t xml:space="preserve">4(l) </w:t>
      </w:r>
      <w:r>
        <w:rPr>
          <w:rFonts w:cs="Cambria"/>
          <w:color w:val="1D1B11"/>
        </w:rPr>
        <w:t xml:space="preserve"> </w:t>
      </w:r>
      <w:r w:rsidRPr="00084AD5">
        <w:rPr>
          <w:rFonts w:cs="Cambria"/>
          <w:color w:val="1D1B11"/>
        </w:rPr>
        <w:sym w:font="Wingdings" w:char="F0E0"/>
      </w:r>
      <w:r>
        <w:rPr>
          <w:rFonts w:cs="Cambria"/>
          <w:color w:val="1D1B11"/>
        </w:rPr>
        <w:t xml:space="preserve"> Cu</w:t>
      </w:r>
      <w:r>
        <w:rPr>
          <w:rFonts w:cs="Cambria"/>
          <w:color w:val="1D1B11"/>
          <w:vertAlign w:val="superscript"/>
        </w:rPr>
        <w:t>2+</w:t>
      </w:r>
      <w:r>
        <w:rPr>
          <w:rFonts w:cs="Cambria"/>
          <w:color w:val="1D1B11"/>
          <w:vertAlign w:val="subscript"/>
        </w:rPr>
        <w:t>(</w:t>
      </w:r>
      <w:proofErr w:type="spellStart"/>
      <w:r>
        <w:rPr>
          <w:rFonts w:cs="Cambria"/>
          <w:color w:val="1D1B11"/>
          <w:vertAlign w:val="subscript"/>
        </w:rPr>
        <w:t>aq</w:t>
      </w:r>
      <w:proofErr w:type="spellEnd"/>
      <w:r>
        <w:rPr>
          <w:rFonts w:cs="Cambria"/>
          <w:color w:val="1D1B11"/>
          <w:vertAlign w:val="subscript"/>
        </w:rPr>
        <w:t>)</w:t>
      </w:r>
      <w:r>
        <w:rPr>
          <w:rFonts w:cs="Cambria"/>
          <w:color w:val="1D1B11"/>
          <w:vertAlign w:val="superscript"/>
        </w:rPr>
        <w:t xml:space="preserve"> </w:t>
      </w:r>
      <w:r>
        <w:rPr>
          <w:rFonts w:cs="Cambria"/>
          <w:color w:val="1D1B11"/>
        </w:rPr>
        <w:t>+ 2 SO</w:t>
      </w:r>
      <w:r>
        <w:rPr>
          <w:rFonts w:cs="Cambria"/>
          <w:color w:val="1D1B11"/>
          <w:vertAlign w:val="subscript"/>
        </w:rPr>
        <w:t>4</w:t>
      </w:r>
      <w:r>
        <w:rPr>
          <w:rFonts w:cs="Cambria"/>
          <w:color w:val="1D1B11"/>
          <w:vertAlign w:val="superscript"/>
        </w:rPr>
        <w:t>2-</w:t>
      </w:r>
      <w:r>
        <w:rPr>
          <w:rFonts w:cs="Cambria"/>
          <w:color w:val="1D1B11"/>
          <w:vertAlign w:val="subscript"/>
        </w:rPr>
        <w:t>(</w:t>
      </w:r>
      <w:proofErr w:type="spellStart"/>
      <w:r>
        <w:rPr>
          <w:rFonts w:cs="Cambria"/>
          <w:color w:val="1D1B11"/>
          <w:vertAlign w:val="subscript"/>
        </w:rPr>
        <w:t>aq</w:t>
      </w:r>
      <w:proofErr w:type="spellEnd"/>
      <w:r>
        <w:rPr>
          <w:rFonts w:cs="Cambria"/>
          <w:color w:val="1D1B11"/>
          <w:vertAlign w:val="subscript"/>
        </w:rPr>
        <w:t>)</w:t>
      </w:r>
      <w:r>
        <w:rPr>
          <w:rFonts w:cs="Cambria"/>
          <w:color w:val="1D1B11"/>
        </w:rPr>
        <w:t xml:space="preserve"> + 2 H</w:t>
      </w:r>
      <w:r>
        <w:rPr>
          <w:rFonts w:cs="Cambria"/>
          <w:color w:val="1D1B11"/>
          <w:vertAlign w:val="superscript"/>
        </w:rPr>
        <w:t>+</w:t>
      </w:r>
      <w:r>
        <w:rPr>
          <w:rFonts w:cs="Cambria"/>
          <w:color w:val="1D1B11"/>
          <w:vertAlign w:val="subscript"/>
        </w:rPr>
        <w:t>(</w:t>
      </w:r>
      <w:proofErr w:type="spellStart"/>
      <w:r>
        <w:rPr>
          <w:rFonts w:cs="Cambria"/>
          <w:color w:val="1D1B11"/>
          <w:vertAlign w:val="subscript"/>
        </w:rPr>
        <w:t>aq</w:t>
      </w:r>
      <w:proofErr w:type="spellEnd"/>
      <w:r>
        <w:rPr>
          <w:rFonts w:cs="Cambria"/>
          <w:color w:val="1D1B11"/>
          <w:vertAlign w:val="subscript"/>
        </w:rPr>
        <w:t>)</w:t>
      </w:r>
      <w:r>
        <w:rPr>
          <w:rFonts w:cs="Cambria"/>
          <w:color w:val="1D1B11"/>
        </w:rPr>
        <w:t>+ 5 H</w:t>
      </w:r>
      <w:r>
        <w:rPr>
          <w:rFonts w:cs="Cambria"/>
          <w:color w:val="1D1B11"/>
          <w:vertAlign w:val="subscript"/>
        </w:rPr>
        <w:t>2</w:t>
      </w:r>
      <w:r>
        <w:rPr>
          <w:rFonts w:cs="Cambria"/>
          <w:color w:val="1D1B11"/>
        </w:rPr>
        <w:t>O</w:t>
      </w:r>
      <w:r>
        <w:rPr>
          <w:rFonts w:cs="Cambria"/>
          <w:color w:val="1D1B11"/>
          <w:vertAlign w:val="subscript"/>
        </w:rPr>
        <w:t>(l)</w:t>
      </w:r>
      <w:r>
        <w:rPr>
          <w:rFonts w:cs="Cambria"/>
          <w:color w:val="1D1B11"/>
        </w:rPr>
        <w:t xml:space="preserve">   </w:t>
      </w:r>
    </w:p>
    <w:p w:rsidR="006E5152" w:rsidRDefault="006E5152" w:rsidP="006E5152">
      <w:pPr>
        <w:tabs>
          <w:tab w:val="left" w:pos="1701"/>
          <w:tab w:val="left" w:pos="1985"/>
        </w:tabs>
        <w:autoSpaceDE w:val="0"/>
        <w:autoSpaceDN w:val="0"/>
        <w:adjustRightInd w:val="0"/>
        <w:ind w:left="1980" w:hanging="1980"/>
        <w:rPr>
          <w:rFonts w:cs="Cambria"/>
          <w:color w:val="1D1B11"/>
        </w:rPr>
      </w:pPr>
      <w:r>
        <w:rPr>
          <w:rFonts w:cs="Cambria"/>
          <w:color w:val="1D1B11"/>
        </w:rPr>
        <w:t>Literatur:</w:t>
      </w:r>
      <w:r>
        <w:rPr>
          <w:rFonts w:cs="Cambria"/>
          <w:color w:val="1D1B11"/>
        </w:rPr>
        <w:tab/>
      </w:r>
      <w:r>
        <w:rPr>
          <w:rFonts w:cs="Cambria"/>
          <w:color w:val="1D1B11"/>
        </w:rPr>
        <w:tab/>
        <w:t xml:space="preserve">K. Häusler, H. </w:t>
      </w:r>
      <w:proofErr w:type="spellStart"/>
      <w:r>
        <w:rPr>
          <w:rFonts w:cs="Cambria"/>
          <w:color w:val="1D1B11"/>
        </w:rPr>
        <w:t>Rampf</w:t>
      </w:r>
      <w:proofErr w:type="spellEnd"/>
      <w:r>
        <w:rPr>
          <w:rFonts w:cs="Cambria"/>
          <w:color w:val="1D1B11"/>
        </w:rPr>
        <w:t xml:space="preserve">, R. Reichelt, Experimente für den Chemieunterricht mit einer Einführung in die Labortechnik, </w:t>
      </w:r>
      <w:proofErr w:type="spellStart"/>
      <w:r>
        <w:rPr>
          <w:rFonts w:cs="Cambria"/>
          <w:color w:val="1D1B11"/>
        </w:rPr>
        <w:t>Oldenbourg</w:t>
      </w:r>
      <w:proofErr w:type="spellEnd"/>
      <w:r>
        <w:rPr>
          <w:rFonts w:cs="Cambria"/>
          <w:color w:val="1D1B11"/>
        </w:rPr>
        <w:t>, 2. Auflage 1995, Druck 2013, S. 159, 160.</w:t>
      </w:r>
    </w:p>
    <w:p w:rsidR="006E5152" w:rsidRDefault="006E5152" w:rsidP="006E5152">
      <w:pPr>
        <w:tabs>
          <w:tab w:val="left" w:pos="1701"/>
          <w:tab w:val="left" w:pos="1985"/>
        </w:tabs>
        <w:ind w:left="1980" w:hanging="1980"/>
        <w:rPr>
          <w:rFonts w:cs="Cambria"/>
          <w:color w:val="1D1B11"/>
        </w:rPr>
      </w:pPr>
      <w:r>
        <w:rPr>
          <w:rFonts w:cs="Cambria"/>
          <w:color w:val="1D1B11"/>
        </w:rPr>
        <w:t xml:space="preserve">Entsorgung: </w:t>
      </w:r>
      <w:r>
        <w:rPr>
          <w:rFonts w:cs="Cambria"/>
          <w:color w:val="1D1B11"/>
        </w:rPr>
        <w:tab/>
      </w:r>
      <w:r>
        <w:rPr>
          <w:rFonts w:cs="Cambria"/>
          <w:color w:val="1D1B11"/>
        </w:rPr>
        <w:tab/>
        <w:t xml:space="preserve">Die </w:t>
      </w:r>
      <w:proofErr w:type="spellStart"/>
      <w:r>
        <w:rPr>
          <w:rFonts w:cs="Cambria"/>
          <w:color w:val="1D1B11"/>
        </w:rPr>
        <w:t>Kupfersulfatlösungen</w:t>
      </w:r>
      <w:proofErr w:type="spellEnd"/>
      <w:r>
        <w:rPr>
          <w:rFonts w:cs="Cambria"/>
          <w:color w:val="1D1B11"/>
        </w:rPr>
        <w:t xml:space="preserve"> werden in den Schwermetallbehälter gegeben. Der Zucker wird gelöst, neutralisiert und in den Abfluss gegeben. </w:t>
      </w:r>
    </w:p>
    <w:p w:rsidR="006E5152" w:rsidRPr="006E32AF" w:rsidRDefault="006E5152" w:rsidP="006E5152">
      <w:pPr>
        <w:tabs>
          <w:tab w:val="left" w:pos="1701"/>
          <w:tab w:val="left" w:pos="1985"/>
        </w:tabs>
        <w:ind w:left="1980" w:hanging="1980"/>
        <w:rPr>
          <w:rFonts w:eastAsiaTheme="minorEastAsia"/>
        </w:rPr>
      </w:pPr>
      <w:r w:rsidRPr="00B716E8">
        <w:pict>
          <v:shape id="_x0000_s1026" type="#_x0000_t202" style="width:462.45pt;height:154.3pt;mso-position-horizontal-relative:char;mso-position-vertical-relative:line;mso-width-relative:margin;mso-height-relative:margin" fillcolor="white [3201]" strokecolor="#c0504d [3205]" strokeweight="1pt">
            <v:stroke dashstyle="dash"/>
            <v:shadow color="#868686"/>
            <v:textbox style="mso-next-textbox:#_x0000_s1026">
              <w:txbxContent>
                <w:p w:rsidR="006E5152" w:rsidRDefault="006E5152" w:rsidP="006E5152">
                  <w:pPr>
                    <w:tabs>
                      <w:tab w:val="left" w:pos="1701"/>
                      <w:tab w:val="left" w:pos="1985"/>
                    </w:tabs>
                    <w:autoSpaceDE w:val="0"/>
                    <w:autoSpaceDN w:val="0"/>
                    <w:adjustRightInd w:val="0"/>
                    <w:rPr>
                      <w:rFonts w:cs="Cambria"/>
                      <w:color w:val="1F497D"/>
                    </w:rPr>
                  </w:pPr>
                  <w:r>
                    <w:rPr>
                      <w:rFonts w:cs="Cambria"/>
                      <w:color w:val="1F497D"/>
                    </w:rPr>
                    <w:t>Alternativ kann auch die hygroskopische Wirkung von Schwefelsäure aufgezeigt werden, i</w:t>
                  </w:r>
                  <w:r>
                    <w:rPr>
                      <w:rFonts w:cs="Cambria"/>
                      <w:color w:val="1F497D"/>
                    </w:rPr>
                    <w:t>n</w:t>
                  </w:r>
                  <w:r>
                    <w:rPr>
                      <w:rFonts w:cs="Cambria"/>
                      <w:color w:val="1F497D"/>
                    </w:rPr>
                    <w:t>dem konzentrierte Schwefelsäure in einem Becherglas einige Minuten stehen gelassen wird. Das Gewicht nimmt zu, weil die Schwefelsäure Wasser aus der Luft zieht. Auch die Reaktion mit Ameisensäure ist möglich.</w:t>
                  </w:r>
                </w:p>
                <w:p w:rsidR="006E5152" w:rsidRDefault="006E5152" w:rsidP="006E5152">
                  <w:pPr>
                    <w:tabs>
                      <w:tab w:val="left" w:pos="1701"/>
                      <w:tab w:val="left" w:pos="1985"/>
                    </w:tabs>
                    <w:autoSpaceDE w:val="0"/>
                    <w:autoSpaceDN w:val="0"/>
                    <w:adjustRightInd w:val="0"/>
                    <w:rPr>
                      <w:rFonts w:cs="Cambria"/>
                      <w:color w:val="1F497D"/>
                    </w:rPr>
                  </w:pPr>
                  <w:r>
                    <w:rPr>
                      <w:rFonts w:cs="Cambria"/>
                      <w:color w:val="1F497D"/>
                    </w:rPr>
                    <w:t xml:space="preserve">Auch weitere Versuche zur Charakterisierung von Schwefelsäure sollten folgen: Leitfähigkeit reiner Schwefelsäure, Verdünnen von Schwefelsäure, Reaktion mit Metallen von konzentrierte und halbkonzentrierter Schwefelsäure. </w:t>
                  </w:r>
                </w:p>
                <w:p w:rsidR="006E5152" w:rsidRPr="00686BA4" w:rsidRDefault="006E5152" w:rsidP="006E5152"/>
              </w:txbxContent>
            </v:textbox>
            <w10:wrap type="none"/>
            <w10:anchorlock/>
          </v:shape>
        </w:pict>
      </w:r>
    </w:p>
    <w:p w:rsidR="00B93CB0" w:rsidRDefault="00B93CB0"/>
    <w:sectPr w:rsidR="00B93CB0" w:rsidSect="00B93CB0">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 w:numId="2">
    <w:abstractNumId w:val="0"/>
    <w:lvlOverride w:ilvl="0">
      <w:startOverride w:val="2"/>
    </w:lvlOverride>
    <w:lvlOverride w:ilvl="1">
      <w:startOverride w:val="3"/>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6E5152"/>
    <w:rsid w:val="0000249D"/>
    <w:rsid w:val="000109E3"/>
    <w:rsid w:val="00011AC0"/>
    <w:rsid w:val="0001418F"/>
    <w:rsid w:val="00016490"/>
    <w:rsid w:val="000202FB"/>
    <w:rsid w:val="00044AD5"/>
    <w:rsid w:val="00047287"/>
    <w:rsid w:val="00051DB1"/>
    <w:rsid w:val="000712EA"/>
    <w:rsid w:val="00071664"/>
    <w:rsid w:val="00071F21"/>
    <w:rsid w:val="000B5A53"/>
    <w:rsid w:val="000B7B81"/>
    <w:rsid w:val="000C69D2"/>
    <w:rsid w:val="000E56BA"/>
    <w:rsid w:val="000F0499"/>
    <w:rsid w:val="000F5F36"/>
    <w:rsid w:val="00104F91"/>
    <w:rsid w:val="00105CD3"/>
    <w:rsid w:val="001135ED"/>
    <w:rsid w:val="00114B5F"/>
    <w:rsid w:val="0011700F"/>
    <w:rsid w:val="00117DF5"/>
    <w:rsid w:val="00124004"/>
    <w:rsid w:val="00125FA3"/>
    <w:rsid w:val="00133E86"/>
    <w:rsid w:val="0013665F"/>
    <w:rsid w:val="00141789"/>
    <w:rsid w:val="00153566"/>
    <w:rsid w:val="00160B0B"/>
    <w:rsid w:val="00162FC5"/>
    <w:rsid w:val="00163AB4"/>
    <w:rsid w:val="00163BCB"/>
    <w:rsid w:val="00176222"/>
    <w:rsid w:val="00180232"/>
    <w:rsid w:val="00181C91"/>
    <w:rsid w:val="00191E34"/>
    <w:rsid w:val="001934D1"/>
    <w:rsid w:val="00194426"/>
    <w:rsid w:val="001A5655"/>
    <w:rsid w:val="001C2C46"/>
    <w:rsid w:val="001C306B"/>
    <w:rsid w:val="001C5C03"/>
    <w:rsid w:val="001D7831"/>
    <w:rsid w:val="001E691A"/>
    <w:rsid w:val="00202A5F"/>
    <w:rsid w:val="002058D0"/>
    <w:rsid w:val="0020742B"/>
    <w:rsid w:val="00217EFE"/>
    <w:rsid w:val="00222B6A"/>
    <w:rsid w:val="00242A32"/>
    <w:rsid w:val="00257F3F"/>
    <w:rsid w:val="002606BA"/>
    <w:rsid w:val="002608F0"/>
    <w:rsid w:val="002726D5"/>
    <w:rsid w:val="00294AEC"/>
    <w:rsid w:val="002A4424"/>
    <w:rsid w:val="002B2937"/>
    <w:rsid w:val="002E1486"/>
    <w:rsid w:val="002E2AA5"/>
    <w:rsid w:val="002E2B43"/>
    <w:rsid w:val="002E47B4"/>
    <w:rsid w:val="00300EE4"/>
    <w:rsid w:val="0030304D"/>
    <w:rsid w:val="00303685"/>
    <w:rsid w:val="0030793D"/>
    <w:rsid w:val="003109AD"/>
    <w:rsid w:val="00325AC9"/>
    <w:rsid w:val="003359AC"/>
    <w:rsid w:val="00347497"/>
    <w:rsid w:val="003477BB"/>
    <w:rsid w:val="003529F1"/>
    <w:rsid w:val="003547D3"/>
    <w:rsid w:val="00365E87"/>
    <w:rsid w:val="00367980"/>
    <w:rsid w:val="00371189"/>
    <w:rsid w:val="00375369"/>
    <w:rsid w:val="00392377"/>
    <w:rsid w:val="003A389B"/>
    <w:rsid w:val="003C06F1"/>
    <w:rsid w:val="003D6196"/>
    <w:rsid w:val="003E68DE"/>
    <w:rsid w:val="003F037D"/>
    <w:rsid w:val="003F09D6"/>
    <w:rsid w:val="003F286E"/>
    <w:rsid w:val="003F63D0"/>
    <w:rsid w:val="003F6C8C"/>
    <w:rsid w:val="00401647"/>
    <w:rsid w:val="00404632"/>
    <w:rsid w:val="004077FC"/>
    <w:rsid w:val="0041546D"/>
    <w:rsid w:val="00416CCC"/>
    <w:rsid w:val="00421A97"/>
    <w:rsid w:val="004231EB"/>
    <w:rsid w:val="004307D5"/>
    <w:rsid w:val="00435FFF"/>
    <w:rsid w:val="00443A7A"/>
    <w:rsid w:val="00457837"/>
    <w:rsid w:val="00474566"/>
    <w:rsid w:val="00480B4F"/>
    <w:rsid w:val="004871BC"/>
    <w:rsid w:val="00491914"/>
    <w:rsid w:val="00491CA9"/>
    <w:rsid w:val="00494EDF"/>
    <w:rsid w:val="004A639D"/>
    <w:rsid w:val="004A6FB9"/>
    <w:rsid w:val="004B11F5"/>
    <w:rsid w:val="004B634C"/>
    <w:rsid w:val="004C420A"/>
    <w:rsid w:val="004D1DFD"/>
    <w:rsid w:val="004D3AD7"/>
    <w:rsid w:val="004F307E"/>
    <w:rsid w:val="004F33B7"/>
    <w:rsid w:val="004F5232"/>
    <w:rsid w:val="00505972"/>
    <w:rsid w:val="005127E5"/>
    <w:rsid w:val="00514176"/>
    <w:rsid w:val="005200CA"/>
    <w:rsid w:val="00522BE5"/>
    <w:rsid w:val="0052786C"/>
    <w:rsid w:val="005328C7"/>
    <w:rsid w:val="00541FCB"/>
    <w:rsid w:val="00543F09"/>
    <w:rsid w:val="005477A9"/>
    <w:rsid w:val="00552684"/>
    <w:rsid w:val="005562AF"/>
    <w:rsid w:val="0056023C"/>
    <w:rsid w:val="0056041D"/>
    <w:rsid w:val="00566BB0"/>
    <w:rsid w:val="00573B3A"/>
    <w:rsid w:val="0057645C"/>
    <w:rsid w:val="0058161A"/>
    <w:rsid w:val="005A11B6"/>
    <w:rsid w:val="005A39E9"/>
    <w:rsid w:val="005A4DC9"/>
    <w:rsid w:val="005A6CD8"/>
    <w:rsid w:val="005A757C"/>
    <w:rsid w:val="005C0B65"/>
    <w:rsid w:val="005C62A9"/>
    <w:rsid w:val="005C7874"/>
    <w:rsid w:val="005D3948"/>
    <w:rsid w:val="005E4298"/>
    <w:rsid w:val="005E6384"/>
    <w:rsid w:val="005F405F"/>
    <w:rsid w:val="0060248F"/>
    <w:rsid w:val="00602FF1"/>
    <w:rsid w:val="00604E91"/>
    <w:rsid w:val="00606281"/>
    <w:rsid w:val="00617A27"/>
    <w:rsid w:val="006252B7"/>
    <w:rsid w:val="006333A1"/>
    <w:rsid w:val="006419C3"/>
    <w:rsid w:val="00655AFC"/>
    <w:rsid w:val="0065724C"/>
    <w:rsid w:val="006666D3"/>
    <w:rsid w:val="00673E1C"/>
    <w:rsid w:val="00693D98"/>
    <w:rsid w:val="0069652D"/>
    <w:rsid w:val="006B2545"/>
    <w:rsid w:val="006C05EC"/>
    <w:rsid w:val="006D0F1B"/>
    <w:rsid w:val="006D4B22"/>
    <w:rsid w:val="006E5152"/>
    <w:rsid w:val="006F1F6D"/>
    <w:rsid w:val="006F20E3"/>
    <w:rsid w:val="00704F07"/>
    <w:rsid w:val="00721F86"/>
    <w:rsid w:val="007322EF"/>
    <w:rsid w:val="0074467C"/>
    <w:rsid w:val="00745CC1"/>
    <w:rsid w:val="00756BA1"/>
    <w:rsid w:val="00770B3D"/>
    <w:rsid w:val="00792920"/>
    <w:rsid w:val="007A2A42"/>
    <w:rsid w:val="007B3B68"/>
    <w:rsid w:val="007B570C"/>
    <w:rsid w:val="007B6E96"/>
    <w:rsid w:val="007C0024"/>
    <w:rsid w:val="007C13F5"/>
    <w:rsid w:val="007C4CF8"/>
    <w:rsid w:val="007C5F72"/>
    <w:rsid w:val="007D5561"/>
    <w:rsid w:val="007D7553"/>
    <w:rsid w:val="007E0E3B"/>
    <w:rsid w:val="007E685C"/>
    <w:rsid w:val="008015A4"/>
    <w:rsid w:val="0080204D"/>
    <w:rsid w:val="008021A0"/>
    <w:rsid w:val="00820583"/>
    <w:rsid w:val="0082324C"/>
    <w:rsid w:val="00825682"/>
    <w:rsid w:val="00846D92"/>
    <w:rsid w:val="008505B9"/>
    <w:rsid w:val="00855AFD"/>
    <w:rsid w:val="008575D8"/>
    <w:rsid w:val="00874B03"/>
    <w:rsid w:val="008937B4"/>
    <w:rsid w:val="008956F5"/>
    <w:rsid w:val="008977ED"/>
    <w:rsid w:val="008B3059"/>
    <w:rsid w:val="008C1355"/>
    <w:rsid w:val="008C23FE"/>
    <w:rsid w:val="008D176C"/>
    <w:rsid w:val="008D6B6B"/>
    <w:rsid w:val="008E6454"/>
    <w:rsid w:val="009005D5"/>
    <w:rsid w:val="009021DB"/>
    <w:rsid w:val="0090331C"/>
    <w:rsid w:val="0090371D"/>
    <w:rsid w:val="00906220"/>
    <w:rsid w:val="0091654B"/>
    <w:rsid w:val="009425A1"/>
    <w:rsid w:val="00943E92"/>
    <w:rsid w:val="00944CFB"/>
    <w:rsid w:val="00946990"/>
    <w:rsid w:val="0095149D"/>
    <w:rsid w:val="0095339A"/>
    <w:rsid w:val="00953AF6"/>
    <w:rsid w:val="00954F58"/>
    <w:rsid w:val="00965251"/>
    <w:rsid w:val="00966A56"/>
    <w:rsid w:val="00971360"/>
    <w:rsid w:val="00972377"/>
    <w:rsid w:val="0097352D"/>
    <w:rsid w:val="0097394A"/>
    <w:rsid w:val="00975E0F"/>
    <w:rsid w:val="0098029A"/>
    <w:rsid w:val="00980569"/>
    <w:rsid w:val="00980A79"/>
    <w:rsid w:val="00980D94"/>
    <w:rsid w:val="00984BD9"/>
    <w:rsid w:val="009914DD"/>
    <w:rsid w:val="00995C6E"/>
    <w:rsid w:val="009B5CAB"/>
    <w:rsid w:val="009C45B3"/>
    <w:rsid w:val="009C63F9"/>
    <w:rsid w:val="009D1D4C"/>
    <w:rsid w:val="009E2992"/>
    <w:rsid w:val="009E30C6"/>
    <w:rsid w:val="009E3BD8"/>
    <w:rsid w:val="009E6B32"/>
    <w:rsid w:val="009F3FDC"/>
    <w:rsid w:val="009F51CA"/>
    <w:rsid w:val="00A0110A"/>
    <w:rsid w:val="00A12FAE"/>
    <w:rsid w:val="00A21DBB"/>
    <w:rsid w:val="00A234B1"/>
    <w:rsid w:val="00A55E01"/>
    <w:rsid w:val="00A60861"/>
    <w:rsid w:val="00A63D8C"/>
    <w:rsid w:val="00A72FD7"/>
    <w:rsid w:val="00A75665"/>
    <w:rsid w:val="00A862C4"/>
    <w:rsid w:val="00A92618"/>
    <w:rsid w:val="00A95AA4"/>
    <w:rsid w:val="00AA3AF8"/>
    <w:rsid w:val="00AA4024"/>
    <w:rsid w:val="00AA66E0"/>
    <w:rsid w:val="00AA6D1D"/>
    <w:rsid w:val="00AB5092"/>
    <w:rsid w:val="00AC19E8"/>
    <w:rsid w:val="00AC397C"/>
    <w:rsid w:val="00AE54FF"/>
    <w:rsid w:val="00AF2BD7"/>
    <w:rsid w:val="00AF58D1"/>
    <w:rsid w:val="00B0136C"/>
    <w:rsid w:val="00B04E26"/>
    <w:rsid w:val="00B05452"/>
    <w:rsid w:val="00B05CDB"/>
    <w:rsid w:val="00B1226C"/>
    <w:rsid w:val="00B1311B"/>
    <w:rsid w:val="00B1505F"/>
    <w:rsid w:val="00B15D57"/>
    <w:rsid w:val="00B25E3D"/>
    <w:rsid w:val="00B351FF"/>
    <w:rsid w:val="00B43888"/>
    <w:rsid w:val="00B47816"/>
    <w:rsid w:val="00B566AD"/>
    <w:rsid w:val="00B6050E"/>
    <w:rsid w:val="00B61774"/>
    <w:rsid w:val="00B62CD1"/>
    <w:rsid w:val="00B653AF"/>
    <w:rsid w:val="00B654C5"/>
    <w:rsid w:val="00B7579B"/>
    <w:rsid w:val="00B81161"/>
    <w:rsid w:val="00B93CB0"/>
    <w:rsid w:val="00B94727"/>
    <w:rsid w:val="00B97174"/>
    <w:rsid w:val="00BA2901"/>
    <w:rsid w:val="00BB3FD7"/>
    <w:rsid w:val="00BC18F5"/>
    <w:rsid w:val="00BD3022"/>
    <w:rsid w:val="00BD5E3A"/>
    <w:rsid w:val="00BD6AB2"/>
    <w:rsid w:val="00BD6B61"/>
    <w:rsid w:val="00BE2009"/>
    <w:rsid w:val="00BE31F4"/>
    <w:rsid w:val="00BE41E6"/>
    <w:rsid w:val="00BE5BA2"/>
    <w:rsid w:val="00BF08F1"/>
    <w:rsid w:val="00C00187"/>
    <w:rsid w:val="00C118B9"/>
    <w:rsid w:val="00C12450"/>
    <w:rsid w:val="00C13B17"/>
    <w:rsid w:val="00C14ED4"/>
    <w:rsid w:val="00C235C2"/>
    <w:rsid w:val="00C30743"/>
    <w:rsid w:val="00C40799"/>
    <w:rsid w:val="00C41822"/>
    <w:rsid w:val="00C45BD3"/>
    <w:rsid w:val="00C47453"/>
    <w:rsid w:val="00C52814"/>
    <w:rsid w:val="00C55B54"/>
    <w:rsid w:val="00C64ED0"/>
    <w:rsid w:val="00C6502D"/>
    <w:rsid w:val="00C6533A"/>
    <w:rsid w:val="00C93A84"/>
    <w:rsid w:val="00C9733C"/>
    <w:rsid w:val="00CA6B2B"/>
    <w:rsid w:val="00CB2F26"/>
    <w:rsid w:val="00CC30D9"/>
    <w:rsid w:val="00CC3820"/>
    <w:rsid w:val="00CC6AD5"/>
    <w:rsid w:val="00CD15FF"/>
    <w:rsid w:val="00CD5E2B"/>
    <w:rsid w:val="00CE632A"/>
    <w:rsid w:val="00CF6B08"/>
    <w:rsid w:val="00CF75F7"/>
    <w:rsid w:val="00D00B05"/>
    <w:rsid w:val="00D12B8C"/>
    <w:rsid w:val="00D13B63"/>
    <w:rsid w:val="00D15269"/>
    <w:rsid w:val="00D220DB"/>
    <w:rsid w:val="00D42583"/>
    <w:rsid w:val="00D476A5"/>
    <w:rsid w:val="00D53C0A"/>
    <w:rsid w:val="00D56536"/>
    <w:rsid w:val="00D5784D"/>
    <w:rsid w:val="00D67F81"/>
    <w:rsid w:val="00D74FC3"/>
    <w:rsid w:val="00D75471"/>
    <w:rsid w:val="00D81986"/>
    <w:rsid w:val="00D82354"/>
    <w:rsid w:val="00D82A97"/>
    <w:rsid w:val="00D867E1"/>
    <w:rsid w:val="00DA22D3"/>
    <w:rsid w:val="00DA4EC1"/>
    <w:rsid w:val="00DB4079"/>
    <w:rsid w:val="00DC7A1A"/>
    <w:rsid w:val="00DD575F"/>
    <w:rsid w:val="00DE1180"/>
    <w:rsid w:val="00DE2060"/>
    <w:rsid w:val="00DE3E4F"/>
    <w:rsid w:val="00DF2622"/>
    <w:rsid w:val="00DF61BF"/>
    <w:rsid w:val="00E00713"/>
    <w:rsid w:val="00E02C43"/>
    <w:rsid w:val="00E068D5"/>
    <w:rsid w:val="00E06DD6"/>
    <w:rsid w:val="00E07A6D"/>
    <w:rsid w:val="00E20680"/>
    <w:rsid w:val="00E36F4F"/>
    <w:rsid w:val="00E37971"/>
    <w:rsid w:val="00E527B8"/>
    <w:rsid w:val="00E73ED2"/>
    <w:rsid w:val="00E745BF"/>
    <w:rsid w:val="00E76980"/>
    <w:rsid w:val="00E81025"/>
    <w:rsid w:val="00E82ECF"/>
    <w:rsid w:val="00E83876"/>
    <w:rsid w:val="00E85ECB"/>
    <w:rsid w:val="00E921EC"/>
    <w:rsid w:val="00E924BC"/>
    <w:rsid w:val="00E979BD"/>
    <w:rsid w:val="00EA09BC"/>
    <w:rsid w:val="00EB4530"/>
    <w:rsid w:val="00EB6B83"/>
    <w:rsid w:val="00EC37CA"/>
    <w:rsid w:val="00EC4362"/>
    <w:rsid w:val="00EC6465"/>
    <w:rsid w:val="00ED0F88"/>
    <w:rsid w:val="00ED2EB3"/>
    <w:rsid w:val="00ED75C5"/>
    <w:rsid w:val="00EE4DEA"/>
    <w:rsid w:val="00EE6F4E"/>
    <w:rsid w:val="00F03626"/>
    <w:rsid w:val="00F075D5"/>
    <w:rsid w:val="00F221EA"/>
    <w:rsid w:val="00F23805"/>
    <w:rsid w:val="00F2569E"/>
    <w:rsid w:val="00F31D06"/>
    <w:rsid w:val="00F3379A"/>
    <w:rsid w:val="00F3550B"/>
    <w:rsid w:val="00F45080"/>
    <w:rsid w:val="00F50715"/>
    <w:rsid w:val="00F6181E"/>
    <w:rsid w:val="00F61C75"/>
    <w:rsid w:val="00F728D1"/>
    <w:rsid w:val="00F86555"/>
    <w:rsid w:val="00F8793A"/>
    <w:rsid w:val="00F91B80"/>
    <w:rsid w:val="00F95C1D"/>
    <w:rsid w:val="00FC2143"/>
    <w:rsid w:val="00FC4BC5"/>
    <w:rsid w:val="00FC54FD"/>
    <w:rsid w:val="00FC61B4"/>
    <w:rsid w:val="00FD7480"/>
    <w:rsid w:val="00FE16DB"/>
    <w:rsid w:val="00FE4D94"/>
    <w:rsid w:val="00FF00C6"/>
    <w:rsid w:val="00FF227A"/>
    <w:rsid w:val="00FF2421"/>
    <w:rsid w:val="00FF289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E5152"/>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6E5152"/>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6E5152"/>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6E5152"/>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6E515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E515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6E515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6E515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E515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6E515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E5152"/>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6E5152"/>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6E5152"/>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6E5152"/>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E5152"/>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6E5152"/>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6E5152"/>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E5152"/>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6E5152"/>
    <w:rPr>
      <w:rFonts w:asciiTheme="majorHAnsi" w:eastAsiaTheme="majorEastAsia" w:hAnsiTheme="majorHAnsi" w:cstheme="majorBidi"/>
      <w:i/>
      <w:iCs/>
      <w:color w:val="404040" w:themeColor="text1" w:themeTint="BF"/>
      <w:sz w:val="20"/>
      <w:szCs w:val="20"/>
    </w:rPr>
  </w:style>
  <w:style w:type="paragraph" w:styleId="Sprechblasentext">
    <w:name w:val="Balloon Text"/>
    <w:basedOn w:val="Standard"/>
    <w:link w:val="SprechblasentextZchn"/>
    <w:uiPriority w:val="99"/>
    <w:semiHidden/>
    <w:unhideWhenUsed/>
    <w:rsid w:val="006E51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5152"/>
    <w:rPr>
      <w:rFonts w:ascii="Tahoma" w:hAnsi="Tahoma" w:cs="Tahoma"/>
      <w:color w:val="1D1B11" w:themeColor="background2" w:themeShade="1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266</Words>
  <Characters>1680</Characters>
  <Application>Microsoft Office Word</Application>
  <DocSecurity>0</DocSecurity>
  <Lines>14</Lines>
  <Paragraphs>3</Paragraphs>
  <ScaleCrop>false</ScaleCrop>
  <Company/>
  <LinksUpToDate>false</LinksUpToDate>
  <CharactersWithSpaces>1943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noraa</dc:creator>
  <cp:lastModifiedBy>noraa</cp:lastModifiedBy>
  <cp:revision>1</cp:revision>
  <dcterms:created xsi:type="dcterms:W3CDTF">2014-08-26T21:05:00Z</dcterms:created>
  <dcterms:modified xsi:type="dcterms:W3CDTF">2014-08-26T21:08:00Z</dcterms:modified>
</cp:coreProperties>
</file>