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39" w:rsidRPr="00427D39" w:rsidRDefault="00427D39" w:rsidP="00427D39">
      <w:pPr>
        <w:tabs>
          <w:tab w:val="left" w:pos="1701"/>
          <w:tab w:val="left" w:pos="1985"/>
        </w:tabs>
        <w:ind w:left="1980" w:hanging="1980"/>
        <w:rPr>
          <w:b/>
          <w:sz w:val="32"/>
        </w:rPr>
      </w:pPr>
      <w:bookmarkStart w:id="0" w:name="_Toc425776595"/>
      <w:bookmarkEnd w:id="0"/>
      <w:r w:rsidRPr="00427D39">
        <w:rPr>
          <w:b/>
          <w:sz w:val="32"/>
        </w:rPr>
        <w:t>Magnesiumfackel</w:t>
      </w:r>
    </w:p>
    <w:p w:rsidR="00427D39" w:rsidRPr="00427D39" w:rsidRDefault="00427D39" w:rsidP="00427D39">
      <w:pPr>
        <w:tabs>
          <w:tab w:val="left" w:pos="1701"/>
          <w:tab w:val="left" w:pos="1985"/>
        </w:tabs>
        <w:ind w:left="1980" w:hanging="1980"/>
      </w:pPr>
      <w:r w:rsidRPr="00427D39">
        <w:t xml:space="preserve">Materialien: </w:t>
      </w:r>
      <w:r w:rsidRPr="00427D39">
        <w:tab/>
      </w:r>
      <w:r w:rsidRPr="00427D39">
        <w:tab/>
      </w:r>
      <w:r w:rsidRPr="00427D39">
        <w:tab/>
      </w:r>
      <w:r w:rsidRPr="00427D39">
        <w:tab/>
        <w:t>5 Holzspieße, Gasbrenner, Becherglas</w:t>
      </w:r>
    </w:p>
    <w:p w:rsidR="00427D39" w:rsidRPr="00427D39" w:rsidRDefault="00427D39" w:rsidP="00427D39">
      <w:pPr>
        <w:tabs>
          <w:tab w:val="left" w:pos="1701"/>
          <w:tab w:val="left" w:pos="1985"/>
        </w:tabs>
        <w:ind w:left="1980" w:hanging="1980"/>
      </w:pPr>
      <w:r w:rsidRPr="00427D39">
        <w:t>Chemikalien:</w:t>
      </w:r>
      <w:r w:rsidRPr="00427D39">
        <w:tab/>
      </w:r>
      <w:r w:rsidRPr="00427D39">
        <w:tab/>
      </w:r>
      <w:r w:rsidRPr="00427D39">
        <w:tab/>
      </w:r>
      <w:r w:rsidRPr="00427D39">
        <w:tab/>
        <w:t>Magnesiumband</w:t>
      </w:r>
    </w:p>
    <w:p w:rsidR="00427D39" w:rsidRPr="00427D39" w:rsidRDefault="00427D39" w:rsidP="00427D39">
      <w:pPr>
        <w:tabs>
          <w:tab w:val="left" w:pos="1701"/>
          <w:tab w:val="left" w:pos="1985"/>
        </w:tabs>
        <w:ind w:left="2124" w:hanging="2124"/>
      </w:pPr>
      <w:r w:rsidRPr="00427D39">
        <w:t xml:space="preserve">Durchführung: </w:t>
      </w:r>
      <w:r w:rsidRPr="00427D39">
        <w:tab/>
      </w:r>
      <w:r w:rsidRPr="00427D39">
        <w:tab/>
      </w:r>
      <w:r w:rsidRPr="00427D39">
        <w:tab/>
        <w:t xml:space="preserve">Die Holzspieße werden jeweils mit einem ca. 8 – 10 cm langen </w:t>
      </w:r>
      <w:bookmarkStart w:id="1" w:name="_GoBack"/>
      <w:bookmarkEnd w:id="1"/>
      <w:r w:rsidRPr="00427D39">
        <w:t>Magnesiumband umwickelt und anschließend zusammengebunden. Danach wird das Magnesium mit dem Gasbrenner entzündet und in ein mit Wasser befülltes Becherglas getaucht.</w:t>
      </w:r>
    </w:p>
    <w:p w:rsidR="00427D39" w:rsidRPr="00427D39" w:rsidRDefault="00427D39" w:rsidP="00427D39">
      <w:pPr>
        <w:tabs>
          <w:tab w:val="left" w:pos="1701"/>
          <w:tab w:val="left" w:pos="1985"/>
        </w:tabs>
        <w:ind w:left="2124" w:hanging="2124"/>
      </w:pPr>
      <w:r w:rsidRPr="00427D39">
        <w:rPr>
          <w:rFonts w:cs="Times New Roman"/>
          <w:noProof/>
          <w:sz w:val="52"/>
          <w:szCs w:val="24"/>
          <w:lang w:eastAsia="de-DE"/>
        </w:rPr>
        <w:drawing>
          <wp:anchor distT="0" distB="0" distL="114300" distR="114300" simplePos="0" relativeHeight="251659264" behindDoc="0" locked="0" layoutInCell="1" allowOverlap="1" wp14:anchorId="5D7348FD" wp14:editId="2AC40527">
            <wp:simplePos x="0" y="0"/>
            <wp:positionH relativeFrom="column">
              <wp:posOffset>1348105</wp:posOffset>
            </wp:positionH>
            <wp:positionV relativeFrom="paragraph">
              <wp:posOffset>372745</wp:posOffset>
            </wp:positionV>
            <wp:extent cx="2198455" cy="1466850"/>
            <wp:effectExtent l="0" t="0" r="0" b="0"/>
            <wp:wrapTopAndBottom/>
            <wp:docPr id="5" name="Grafik 5" descr="C:\Users\Holle\Desktop\Bilder Metalle und Nichtmetalle\Magnesium unter 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Desktop\Bilder Metalle und Nichtmetalle\Magnesium unter Wasser.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198455" cy="1466850"/>
                    </a:xfrm>
                    <a:prstGeom prst="rect">
                      <a:avLst/>
                    </a:prstGeom>
                    <a:noFill/>
                    <a:ln>
                      <a:noFill/>
                    </a:ln>
                  </pic:spPr>
                </pic:pic>
              </a:graphicData>
            </a:graphic>
          </wp:anchor>
        </w:drawing>
      </w:r>
      <w:r w:rsidRPr="00427D39">
        <w:t>Beobachtung:</w:t>
      </w:r>
      <w:r w:rsidRPr="00427D39">
        <w:tab/>
      </w:r>
      <w:r w:rsidRPr="00427D39">
        <w:tab/>
      </w:r>
      <w:r w:rsidRPr="00427D39">
        <w:tab/>
        <w:t>Das Magnesium brennt mit heller Flamme unter Wasser weiter.</w:t>
      </w:r>
    </w:p>
    <w:p w:rsidR="00427D39" w:rsidRPr="00427D39" w:rsidRDefault="00427D39" w:rsidP="00427D39">
      <w:pPr>
        <w:tabs>
          <w:tab w:val="left" w:pos="1701"/>
          <w:tab w:val="left" w:pos="1985"/>
        </w:tabs>
        <w:ind w:left="2124" w:hanging="2124"/>
      </w:pPr>
      <w:r w:rsidRPr="00427D39">
        <w:tab/>
      </w:r>
      <w:r w:rsidRPr="00427D39">
        <w:tab/>
      </w:r>
      <w:r w:rsidRPr="00427D39">
        <w:tab/>
      </w:r>
      <w:r w:rsidRPr="00427D39">
        <w:rPr>
          <w:sz w:val="18"/>
        </w:rPr>
        <w:t>Abb. 1: Magnesium brennt unter Wasser.</w:t>
      </w:r>
    </w:p>
    <w:p w:rsidR="00427D39" w:rsidRPr="00427D39" w:rsidRDefault="00427D39" w:rsidP="00427D39">
      <w:pPr>
        <w:tabs>
          <w:tab w:val="left" w:pos="1701"/>
          <w:tab w:val="left" w:pos="1985"/>
        </w:tabs>
        <w:ind w:left="2124" w:hanging="2124"/>
      </w:pPr>
      <w:r w:rsidRPr="00427D39">
        <w:t>Deutung:</w:t>
      </w:r>
      <w:r w:rsidRPr="00427D39">
        <w:tab/>
      </w:r>
      <w:r w:rsidRPr="00427D39">
        <w:tab/>
      </w:r>
      <w:r w:rsidRPr="00427D39">
        <w:tab/>
        <w:t>Die Verbrennung von Magnesium ist eine stark exotherme Reaktion. Taucht man das brennende Magnesium in Wasser, so wird das Wasser zersetzt und es entsteht Wasserstoff. Nur bei ausreichender Magnesiummenge ist die Reaktionstemperatur groß genug um das Magnesium weiterbrennen zu lassen.</w:t>
      </w:r>
    </w:p>
    <w:p w:rsidR="00427D39" w:rsidRPr="00427D39" w:rsidRDefault="00427D39" w:rsidP="00427D39">
      <w:pPr>
        <w:tabs>
          <w:tab w:val="left" w:pos="1701"/>
          <w:tab w:val="left" w:pos="1985"/>
        </w:tabs>
        <w:ind w:left="2124" w:hanging="2124"/>
        <w:rPr>
          <w:rFonts w:eastAsiaTheme="minorEastAsia"/>
        </w:rPr>
      </w:pPr>
      <w:r w:rsidRPr="00427D39">
        <w:tab/>
      </w:r>
      <w:r w:rsidRPr="00427D39">
        <w:tab/>
      </w:r>
      <w:r w:rsidRPr="00427D39">
        <w:tab/>
      </w:r>
      <m:oMath>
        <m:sSub>
          <m:sSubPr>
            <m:ctrlPr>
              <w:rPr>
                <w:rFonts w:ascii="Cambria Math" w:hAnsi="Cambria Math"/>
                <w:i/>
              </w:rPr>
            </m:ctrlPr>
          </m:sSubPr>
          <m:e>
            <m:r>
              <w:rPr>
                <w:rFonts w:ascii="Cambria Math" w:hAnsi="Cambria Math"/>
              </w:rPr>
              <m:t>Mg</m:t>
            </m:r>
          </m:e>
          <m:sub>
            <m:r>
              <w:rPr>
                <w:rFonts w:ascii="Cambria Math" w:hAnsi="Cambria Math"/>
              </w:rPr>
              <m:t xml:space="preserve"> (s)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 xml:space="preserve"> (l)</m:t>
            </m:r>
          </m:sub>
        </m:sSub>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Mg</m:t>
        </m:r>
        <m:sSub>
          <m:sSubPr>
            <m:ctrlPr>
              <w:rPr>
                <w:rFonts w:ascii="Cambria Math" w:hAnsi="Cambria Math"/>
                <w:i/>
              </w:rPr>
            </m:ctrlPr>
          </m:sSubPr>
          <m:e>
            <m:r>
              <w:rPr>
                <w:rFonts w:ascii="Cambria Math" w:hAnsi="Cambria Math"/>
              </w:rPr>
              <m:t>O</m:t>
            </m:r>
          </m:e>
          <m:sub>
            <m:r>
              <w:rPr>
                <w:rFonts w:ascii="Cambria Math" w:hAnsi="Cambria Math"/>
              </w:rPr>
              <m:t xml:space="preserve"> (s)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 (g)</m:t>
            </m:r>
          </m:sub>
        </m:sSub>
      </m:oMath>
    </w:p>
    <w:p w:rsidR="00427D39" w:rsidRPr="00427D39" w:rsidRDefault="00427D39" w:rsidP="00427D39">
      <w:pPr>
        <w:tabs>
          <w:tab w:val="left" w:pos="1701"/>
          <w:tab w:val="left" w:pos="1985"/>
        </w:tabs>
        <w:ind w:left="2124" w:hanging="2124"/>
        <w:rPr>
          <w:rFonts w:eastAsiaTheme="minorEastAsia"/>
        </w:rPr>
      </w:pPr>
      <w:r w:rsidRPr="00427D39">
        <w:rPr>
          <w:rFonts w:eastAsiaTheme="minorEastAsia"/>
        </w:rPr>
        <w:tab/>
      </w:r>
      <w:r w:rsidRPr="00427D39">
        <w:rPr>
          <w:rFonts w:eastAsiaTheme="minorEastAsia"/>
        </w:rPr>
        <w:tab/>
      </w:r>
      <w:r w:rsidRPr="00427D39">
        <w:rPr>
          <w:rFonts w:eastAsiaTheme="minorEastAsia"/>
        </w:rPr>
        <w:tab/>
        <w:t>Diese verläuft exotherm und explosionsartig.</w:t>
      </w:r>
    </w:p>
    <w:p w:rsidR="00427D39" w:rsidRPr="00427D39" w:rsidRDefault="00427D39" w:rsidP="00427D39">
      <w:pPr>
        <w:spacing w:line="276" w:lineRule="auto"/>
        <w:ind w:left="2124" w:hanging="2124"/>
        <w:jc w:val="left"/>
      </w:pPr>
      <w:r w:rsidRPr="00427D39">
        <w:t>Entsorgung:</w:t>
      </w:r>
      <w:r w:rsidRPr="00427D39">
        <w:tab/>
        <w:t xml:space="preserve">Die abgekühlten festen Rückstände können in den Mülleimer gegeben werden. Das Wasser kann im Ausguss entsorgt werden. </w:t>
      </w:r>
    </w:p>
    <w:p w:rsidR="00427D39" w:rsidRPr="00427D39" w:rsidRDefault="00427D39" w:rsidP="00427D39">
      <w:pPr>
        <w:spacing w:line="276" w:lineRule="auto"/>
        <w:ind w:left="2124" w:hanging="2124"/>
        <w:jc w:val="left"/>
      </w:pPr>
      <w:r w:rsidRPr="00427D39">
        <w:t>Literatur:</w:t>
      </w:r>
      <w:r w:rsidRPr="00427D39">
        <w:tab/>
        <w:t>https://lp.uni-goettingen.de/get/text/2111 (zuletzt aufgerufen am 10.08.2015 um 17.58).</w:t>
      </w:r>
    </w:p>
    <w:p w:rsidR="00493352" w:rsidRPr="00427D39" w:rsidRDefault="00427D39" w:rsidP="00427D39">
      <w:r w:rsidRPr="00427D39">
        <w:rPr>
          <w:noProof/>
          <w:lang w:eastAsia="de-DE"/>
        </w:rPr>
        <mc:AlternateContent>
          <mc:Choice Requires="wps">
            <w:drawing>
              <wp:inline distT="0" distB="0" distL="0" distR="0" wp14:anchorId="3D066A95" wp14:editId="3A339F8F">
                <wp:extent cx="5760720" cy="600075"/>
                <wp:effectExtent l="0" t="0" r="11430" b="28575"/>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00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7D39" w:rsidRPr="00F31EBF" w:rsidRDefault="00427D39" w:rsidP="00427D39">
                            <w:pPr>
                              <w:rPr>
                                <w:color w:val="auto"/>
                              </w:rPr>
                            </w:pPr>
                            <w:r w:rsidRPr="006B71E6">
                              <w:rPr>
                                <w:b/>
                                <w:color w:val="auto"/>
                              </w:rPr>
                              <w:t>Tipp:</w:t>
                            </w:r>
                            <w:r>
                              <w:rPr>
                                <w:color w:val="auto"/>
                              </w:rPr>
                              <w:t xml:space="preserve"> Bei der angegebenen Menge erlischt das Magnesium nach einigen Sekunden. Durch Erhöhung der Magnesiummenge kann die Brennzeit verlängert werden.</w:t>
                            </w:r>
                          </w:p>
                        </w:txbxContent>
                      </wps:txbx>
                      <wps:bodyPr rot="0" vert="horz" wrap="square" lIns="91440" tIns="45720" rIns="91440" bIns="45720" anchor="t" anchorCtr="0" upright="1">
                        <a:noAutofit/>
                      </wps:bodyPr>
                    </wps:wsp>
                  </a:graphicData>
                </a:graphic>
              </wp:inline>
            </w:drawing>
          </mc:Choice>
          <mc:Fallback>
            <w:pict>
              <v:shapetype w14:anchorId="3D066A95" id="_x0000_t202" coordsize="21600,21600" o:spt="202" path="m,l,21600r21600,l21600,xe">
                <v:stroke joinstyle="miter"/>
                <v:path gradientshapeok="t" o:connecttype="rect"/>
              </v:shapetype>
              <v:shape id="Text Box 134" o:spid="_x0000_s1026" type="#_x0000_t202" style="width:453.6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z16wIAACsGAAAOAAAAZHJzL2Uyb0RvYy54bWysVN9v2yAQfp+0/wHxntpOnDi16lRJmkyT&#10;9ktqpz0TwDEaBg9I7W7a/74DkixaHzZNlSULDvjuvrv77uZ2aCV65MYKrSqcXaUYcUU1E2pf4c8P&#10;29EcI+uIYkRqxSv8xC2+Xbx+ddN3JR/rRkvGDQIQZcu+q3DjXFcmiaUNb4m90h1XcFhr0xIHW7NP&#10;mCE9oLcyGafpLOm1YZ3RlFsL1rt4iBcBv645dR/r2nKHZIUhNhf+Jvx3/p8sbki5N6RrBD2GQf4j&#10;ipYIBU7PUHfEEXQw4hlUK6jRVtfuiuo20XUtKA8cgE2W/sHmviEdD1wgObY7p8m+HCz98PjJIMGg&#10;dhgp0kKJHvjg0EoPKJvkPj99Z0u4dt/BRTfAgb/rudrunaZfLVJ63RC150tjdN9wwiC+zL9MLp5G&#10;HOtBdv17zcAROTgdgIbatB4Q0oEAHer0dK6ND4aCcVrM0mIMRxTOZmmaFtPggpSn152x7g3XLfKL&#10;ChuofUAnj++s89GQ8nQlRK+lYFshZdj4fuNradAjgU6RLjKUhxZCjbYMfKbHhgE7tFW0BxNgh5b1&#10;EMGTvUSXCvWQknEB7//mmlDKlRuHey/k3rO+I7aJ8TJYxbZvhQPtSdFWeH5Bzldwo1hQhiNCxjUw&#10;lMoHz4OqYkphNzhYBjsUKnT8j+V2mhb5ZD4qiulklE826Wg1365Hy3U2mxWb1Xq1yX56glleNoIx&#10;rjYB054EmOX/1uDHURClc5bgOUAflT4Ax/uG9YgJ3xWT6fUYOp0JmAG+Hr6kiMg9DC/qDEZGuy/C&#10;NUF5vgc9hjX73bk15jP/HVvvjB5qfuE4ecYt3hggVZDJU9aCQLwmojrcsBuOgttp9gRSgXCCHmDC&#10;wqLR5jtGPUyrCttvB2I4RvKtArldZ3nux1vY5NMgFHN5srs8IYoCVIUdUA/LtYsj8dAZsW/AU2x/&#10;pZcg0VoE9Xgtx6iAgt/ARApkjtPTj7zLfbj1e8YvfgEAAP//AwBQSwMEFAAGAAgAAAAhAAtHt3za&#10;AAAABAEAAA8AAABkcnMvZG93bnJldi54bWxMj81OwzAQhO9IvIO1SNyok/If4lSA1Ds0ldre3HiJ&#10;o9jrKHbbwNOzcIHLalazmvm2XEzeiSOOsQukIJ9lIJCaYDpqFazr5dUDiJg0Ge0CoYJPjLCozs9K&#10;XZhwonc8rlIrOIRioRXYlIZCythY9DrOwoDE3kcYvU68jq00oz5xuHdynmV30uuOuMHqAV8tNv3q&#10;4BX0bvOid3l7nS/X201t8cv0b7VSlxfT8xOIhFP6O4YffEaHipn24UAmCqeAH0m/k73H7H4OYs/i&#10;5hZkVcr/8NU3AAAA//8DAFBLAQItABQABgAIAAAAIQC2gziS/gAAAOEBAAATAAAAAAAAAAAAAAAA&#10;AAAAAABbQ29udGVudF9UeXBlc10ueG1sUEsBAi0AFAAGAAgAAAAhADj9If/WAAAAlAEAAAsAAAAA&#10;AAAAAAAAAAAALwEAAF9yZWxzLy5yZWxzUEsBAi0AFAAGAAgAAAAhAArQfPXrAgAAKwYAAA4AAAAA&#10;AAAAAAAAAAAALgIAAGRycy9lMm9Eb2MueG1sUEsBAi0AFAAGAAgAAAAhAAtHt3zaAAAABAEAAA8A&#10;AAAAAAAAAAAAAAAARQUAAGRycy9kb3ducmV2LnhtbFBLBQYAAAAABAAEAPMAAABMBgAAAAA=&#10;" fillcolor="white [3201]" strokecolor="#ed7d31 [3205]" strokeweight="1pt">
                <v:stroke dashstyle="dash"/>
                <v:shadow color="#868686"/>
                <v:textbox>
                  <w:txbxContent>
                    <w:p w:rsidR="00427D39" w:rsidRPr="00F31EBF" w:rsidRDefault="00427D39" w:rsidP="00427D39">
                      <w:pPr>
                        <w:rPr>
                          <w:color w:val="auto"/>
                        </w:rPr>
                      </w:pPr>
                      <w:r w:rsidRPr="006B71E6">
                        <w:rPr>
                          <w:b/>
                          <w:color w:val="auto"/>
                        </w:rPr>
                        <w:t>Tipp:</w:t>
                      </w:r>
                      <w:r>
                        <w:rPr>
                          <w:color w:val="auto"/>
                        </w:rPr>
                        <w:t xml:space="preserve"> Bei der angegebenen Menge erlischt das Magnesium nach einigen Sekunden. Durch Erhöhung der Magnesiummenge kann die Brennzeit verlängert werden.</w:t>
                      </w:r>
                    </w:p>
                  </w:txbxContent>
                </v:textbox>
                <w10:anchorlock/>
              </v:shape>
            </w:pict>
          </mc:Fallback>
        </mc:AlternateContent>
      </w:r>
    </w:p>
    <w:sectPr w:rsidR="00493352" w:rsidRPr="00427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39"/>
    <w:rsid w:val="002A14AD"/>
    <w:rsid w:val="00427D39"/>
    <w:rsid w:val="0049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A560-8FB7-4866-BEEE-FF3965E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D3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7D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27D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27D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7D3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7D3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7D3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7D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7D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7D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7D3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7D3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7D3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7D3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7D3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7D3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7D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7D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7D3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3</cp:revision>
  <dcterms:created xsi:type="dcterms:W3CDTF">2015-08-20T09:16:00Z</dcterms:created>
  <dcterms:modified xsi:type="dcterms:W3CDTF">2015-08-24T10:32:00Z</dcterms:modified>
</cp:coreProperties>
</file>