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E7F" w:rsidRPr="00522E7F" w:rsidRDefault="00522E7F" w:rsidP="00522E7F">
      <w:pPr>
        <w:pStyle w:val="berschrift2"/>
        <w:numPr>
          <w:ilvl w:val="0"/>
          <w:numId w:val="0"/>
        </w:numPr>
        <w:ind w:left="576" w:hanging="576"/>
        <w:rPr>
          <w:rFonts w:ascii="Cambria" w:hAnsi="Cambria"/>
          <w:sz w:val="24"/>
        </w:rPr>
      </w:pPr>
      <w:r w:rsidRPr="00522E7F">
        <w:rPr>
          <w:rFonts w:ascii="Cambria" w:hAnsi="Cambria"/>
          <w:sz w:val="24"/>
        </w:rPr>
        <w:t>Rungebilder</w:t>
      </w:r>
      <w:bookmarkStart w:id="0" w:name="_GoBack"/>
      <w:bookmarkEnd w:id="0"/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522E7F" w:rsidRPr="00522E7F" w:rsidTr="00B44EA3">
        <w:tc>
          <w:tcPr>
            <w:tcW w:w="9322" w:type="dxa"/>
            <w:gridSpan w:val="9"/>
            <w:tcBorders>
              <w:bottom w:val="nil"/>
            </w:tcBorders>
            <w:shd w:val="clear" w:color="auto" w:fill="4F81BD"/>
            <w:vAlign w:val="center"/>
          </w:tcPr>
          <w:p w:rsidR="00522E7F" w:rsidRPr="00522E7F" w:rsidRDefault="00522E7F" w:rsidP="00B44EA3">
            <w:pPr>
              <w:spacing w:after="0"/>
              <w:jc w:val="center"/>
              <w:rPr>
                <w:b/>
                <w:bCs/>
                <w:color w:val="FFFFFF"/>
              </w:rPr>
            </w:pPr>
            <w:r w:rsidRPr="00522E7F">
              <w:rPr>
                <w:b/>
                <w:bCs/>
                <w:color w:val="FFFFFF"/>
              </w:rPr>
              <w:t>Gefahrenstoffe</w:t>
            </w:r>
          </w:p>
        </w:tc>
      </w:tr>
      <w:tr w:rsidR="00522E7F" w:rsidRPr="00522E7F" w:rsidTr="00B44EA3">
        <w:trPr>
          <w:trHeight w:val="596"/>
        </w:trPr>
        <w:tc>
          <w:tcPr>
            <w:tcW w:w="302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  <w:rPr>
                <w:bCs/>
              </w:rPr>
            </w:pPr>
            <w:proofErr w:type="spellStart"/>
            <w:r w:rsidRPr="00522E7F">
              <w:rPr>
                <w:bCs/>
              </w:rPr>
              <w:t>Kaliumhexacyanoferrat</w:t>
            </w:r>
            <w:proofErr w:type="spellEnd"/>
            <w:r w:rsidRPr="00522E7F">
              <w:rPr>
                <w:bCs/>
              </w:rPr>
              <w:t>(II)</w:t>
            </w:r>
          </w:p>
        </w:tc>
        <w:tc>
          <w:tcPr>
            <w:tcW w:w="317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pStyle w:val="Beschriftung"/>
              <w:spacing w:after="0"/>
              <w:jc w:val="center"/>
              <w:rPr>
                <w:sz w:val="22"/>
              </w:rPr>
            </w:pPr>
            <w:r w:rsidRPr="00522E7F">
              <w:rPr>
                <w:sz w:val="22"/>
              </w:rPr>
              <w:t>H: 412</w:t>
            </w:r>
          </w:p>
        </w:tc>
        <w:tc>
          <w:tcPr>
            <w:tcW w:w="311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pStyle w:val="Beschriftung"/>
              <w:spacing w:after="0"/>
              <w:jc w:val="center"/>
              <w:rPr>
                <w:sz w:val="22"/>
              </w:rPr>
            </w:pPr>
            <w:r w:rsidRPr="00522E7F">
              <w:rPr>
                <w:sz w:val="22"/>
              </w:rPr>
              <w:t>P: 273</w:t>
            </w:r>
          </w:p>
        </w:tc>
      </w:tr>
      <w:tr w:rsidR="00522E7F" w:rsidRPr="00522E7F" w:rsidTr="00B44EA3">
        <w:trPr>
          <w:trHeight w:val="596"/>
        </w:trPr>
        <w:tc>
          <w:tcPr>
            <w:tcW w:w="302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  <w:rPr>
                <w:bCs/>
              </w:rPr>
            </w:pPr>
            <w:r w:rsidRPr="00522E7F">
              <w:rPr>
                <w:bCs/>
              </w:rPr>
              <w:t>Eisen(III)-chlorid</w:t>
            </w:r>
          </w:p>
        </w:tc>
        <w:tc>
          <w:tcPr>
            <w:tcW w:w="317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pStyle w:val="Beschriftung"/>
              <w:spacing w:after="0"/>
              <w:jc w:val="center"/>
              <w:rPr>
                <w:sz w:val="22"/>
              </w:rPr>
            </w:pPr>
            <w:r w:rsidRPr="00522E7F">
              <w:rPr>
                <w:sz w:val="22"/>
              </w:rPr>
              <w:t>H: 302-315-318-317</w:t>
            </w:r>
          </w:p>
        </w:tc>
        <w:tc>
          <w:tcPr>
            <w:tcW w:w="311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pStyle w:val="Beschriftung"/>
              <w:spacing w:after="0"/>
              <w:jc w:val="center"/>
              <w:rPr>
                <w:sz w:val="22"/>
              </w:rPr>
            </w:pPr>
            <w:r w:rsidRPr="00522E7F">
              <w:rPr>
                <w:sz w:val="22"/>
              </w:rPr>
              <w:t>P: 280-301+312-302+352--305+351+338-310-501.1</w:t>
            </w:r>
          </w:p>
        </w:tc>
      </w:tr>
      <w:tr w:rsidR="00522E7F" w:rsidRPr="00522E7F" w:rsidTr="00B44EA3">
        <w:trPr>
          <w:trHeight w:val="596"/>
        </w:trPr>
        <w:tc>
          <w:tcPr>
            <w:tcW w:w="302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  <w:rPr>
                <w:bCs/>
              </w:rPr>
            </w:pPr>
            <w:r w:rsidRPr="00522E7F">
              <w:rPr>
                <w:bCs/>
              </w:rPr>
              <w:t>Kupfer(II)-chlorid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pStyle w:val="Beschriftung"/>
              <w:spacing w:after="0"/>
              <w:jc w:val="center"/>
              <w:rPr>
                <w:sz w:val="22"/>
              </w:rPr>
            </w:pPr>
            <w:r w:rsidRPr="00522E7F">
              <w:rPr>
                <w:sz w:val="22"/>
              </w:rPr>
              <w:t>H: 302-315-319-410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pStyle w:val="Beschriftung"/>
              <w:spacing w:after="0"/>
              <w:jc w:val="center"/>
              <w:rPr>
                <w:sz w:val="22"/>
              </w:rPr>
            </w:pPr>
            <w:r w:rsidRPr="00522E7F">
              <w:rPr>
                <w:sz w:val="22"/>
              </w:rPr>
              <w:t>P:260-273-302+352, 305+351+338</w:t>
            </w:r>
          </w:p>
        </w:tc>
      </w:tr>
      <w:tr w:rsidR="00522E7F" w:rsidRPr="00522E7F" w:rsidTr="00B44EA3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  <w:rPr>
                <w:b/>
                <w:bCs/>
              </w:rPr>
            </w:pPr>
            <w:r w:rsidRPr="00522E7F">
              <w:rPr>
                <w:b/>
                <w:noProof/>
                <w:lang w:eastAsia="de-DE"/>
              </w:rPr>
              <w:drawing>
                <wp:inline distT="0" distB="0" distL="0" distR="0" wp14:anchorId="5A82B629" wp14:editId="6393269F">
                  <wp:extent cx="500380" cy="500380"/>
                  <wp:effectExtent l="19050" t="0" r="0" b="0"/>
                  <wp:docPr id="168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</w:pPr>
            <w:r w:rsidRPr="00522E7F">
              <w:rPr>
                <w:noProof/>
                <w:lang w:eastAsia="de-DE"/>
              </w:rPr>
              <w:drawing>
                <wp:inline distT="0" distB="0" distL="0" distR="0" wp14:anchorId="1F3D98E6" wp14:editId="191F820E">
                  <wp:extent cx="500380" cy="500380"/>
                  <wp:effectExtent l="19050" t="0" r="0" b="0"/>
                  <wp:docPr id="169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</w:pPr>
            <w:r w:rsidRPr="00522E7F">
              <w:rPr>
                <w:noProof/>
                <w:lang w:eastAsia="de-DE"/>
              </w:rPr>
              <w:drawing>
                <wp:inline distT="0" distB="0" distL="0" distR="0" wp14:anchorId="68CD0609" wp14:editId="1C6D74E4">
                  <wp:extent cx="500380" cy="500380"/>
                  <wp:effectExtent l="19050" t="0" r="0" b="0"/>
                  <wp:docPr id="170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</w:pPr>
            <w:r w:rsidRPr="00522E7F">
              <w:rPr>
                <w:noProof/>
                <w:lang w:eastAsia="de-DE"/>
              </w:rPr>
              <w:drawing>
                <wp:inline distT="0" distB="0" distL="0" distR="0" wp14:anchorId="2E2A1EB4" wp14:editId="20E8AAFF">
                  <wp:extent cx="500380" cy="500380"/>
                  <wp:effectExtent l="19050" t="0" r="0" b="0"/>
                  <wp:docPr id="171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</w:pPr>
            <w:r w:rsidRPr="00522E7F">
              <w:rPr>
                <w:noProof/>
                <w:lang w:eastAsia="de-DE"/>
              </w:rPr>
              <w:drawing>
                <wp:inline distT="0" distB="0" distL="0" distR="0" wp14:anchorId="18F4B6AE" wp14:editId="7F10F3F8">
                  <wp:extent cx="500380" cy="500380"/>
                  <wp:effectExtent l="19050" t="0" r="0" b="0"/>
                  <wp:docPr id="172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</w:pPr>
            <w:r w:rsidRPr="00522E7F">
              <w:rPr>
                <w:noProof/>
                <w:lang w:eastAsia="de-DE"/>
              </w:rPr>
              <w:drawing>
                <wp:inline distT="0" distB="0" distL="0" distR="0" wp14:anchorId="486C6B3A" wp14:editId="025A6CE9">
                  <wp:extent cx="500380" cy="500380"/>
                  <wp:effectExtent l="19050" t="0" r="0" b="0"/>
                  <wp:docPr id="173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</w:pPr>
            <w:r w:rsidRPr="00522E7F">
              <w:rPr>
                <w:noProof/>
                <w:lang w:eastAsia="de-DE"/>
              </w:rPr>
              <w:drawing>
                <wp:inline distT="0" distB="0" distL="0" distR="0" wp14:anchorId="6210DC24" wp14:editId="3BDA4572">
                  <wp:extent cx="500380" cy="500380"/>
                  <wp:effectExtent l="19050" t="0" r="0" b="0"/>
                  <wp:docPr id="174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</w:pPr>
            <w:r w:rsidRPr="00522E7F">
              <w:rPr>
                <w:noProof/>
                <w:lang w:eastAsia="de-DE"/>
              </w:rPr>
              <w:drawing>
                <wp:inline distT="0" distB="0" distL="0" distR="0" wp14:anchorId="3FA6F444" wp14:editId="02F5A3FB">
                  <wp:extent cx="509270" cy="509270"/>
                  <wp:effectExtent l="19050" t="0" r="5080" b="0"/>
                  <wp:docPr id="175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22E7F" w:rsidRPr="00522E7F" w:rsidRDefault="00522E7F" w:rsidP="00B44EA3">
            <w:pPr>
              <w:spacing w:after="0"/>
              <w:jc w:val="center"/>
            </w:pPr>
            <w:r w:rsidRPr="00522E7F">
              <w:rPr>
                <w:noProof/>
                <w:lang w:eastAsia="de-DE"/>
              </w:rPr>
              <w:drawing>
                <wp:inline distT="0" distB="0" distL="0" distR="0" wp14:anchorId="24A08E68" wp14:editId="3E83E46E">
                  <wp:extent cx="500380" cy="500380"/>
                  <wp:effectExtent l="19050" t="0" r="0" b="0"/>
                  <wp:docPr id="176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E7F" w:rsidRPr="00522E7F" w:rsidRDefault="00522E7F" w:rsidP="00522E7F"/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 xml:space="preserve">Materialien: </w:t>
      </w:r>
      <w:r w:rsidRPr="00522E7F">
        <w:tab/>
      </w:r>
      <w:r w:rsidRPr="00522E7F">
        <w:tab/>
        <w:t>4 Uhrgläser, 4 Filterpapiere, 3 Reagenzgläser, 3 Glaspipetten mit Hut, Reagenzglasgestell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>Chemikalien</w:t>
      </w:r>
      <w:r w:rsidRPr="00522E7F">
        <w:tab/>
      </w:r>
      <w:r w:rsidRPr="00522E7F">
        <w:tab/>
        <w:t xml:space="preserve">demineralisiertes Wasser, </w:t>
      </w:r>
      <w:proofErr w:type="spellStart"/>
      <w:r w:rsidRPr="00522E7F">
        <w:t>Kaliumhexayanoferrat</w:t>
      </w:r>
      <w:proofErr w:type="spellEnd"/>
      <w:r w:rsidRPr="00522E7F">
        <w:t>(II), Eisen(III)-chlorid, Kupfer(II)-chlorid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 xml:space="preserve">Durchführung: </w:t>
      </w:r>
      <w:r w:rsidRPr="00522E7F">
        <w:tab/>
      </w:r>
      <w:r w:rsidRPr="00522E7F">
        <w:tab/>
        <w:t xml:space="preserve">In 3 Reagenzgläser (RG) werden 3 Lösungen angesetzt. RG 1: </w:t>
      </w:r>
      <w:proofErr w:type="spellStart"/>
      <w:r w:rsidRPr="00522E7F">
        <w:t>demin</w:t>
      </w:r>
      <w:proofErr w:type="spellEnd"/>
      <w:r w:rsidRPr="00522E7F">
        <w:t xml:space="preserve">. Wasser + Spatelspitze </w:t>
      </w:r>
      <w:proofErr w:type="spellStart"/>
      <w:r w:rsidRPr="00522E7F">
        <w:t>Kaliumhexacynoferrat</w:t>
      </w:r>
      <w:proofErr w:type="spellEnd"/>
      <w:r w:rsidRPr="00522E7F">
        <w:t xml:space="preserve">(II), RG 2: </w:t>
      </w:r>
      <w:proofErr w:type="spellStart"/>
      <w:r w:rsidRPr="00522E7F">
        <w:t>demin</w:t>
      </w:r>
      <w:proofErr w:type="spellEnd"/>
      <w:r w:rsidRPr="00522E7F">
        <w:t xml:space="preserve">. Wasser + Spatelspitze Eisen(II)-chlorid, RG 3: </w:t>
      </w:r>
      <w:proofErr w:type="spellStart"/>
      <w:r w:rsidRPr="00522E7F">
        <w:t>demin</w:t>
      </w:r>
      <w:proofErr w:type="spellEnd"/>
      <w:r w:rsidRPr="00522E7F">
        <w:t>. Wasser + Spatelspitze Kupfer(II)-chlorid.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ab/>
      </w:r>
      <w:r w:rsidRPr="00522E7F">
        <w:tab/>
        <w:t>4 Uhrgläser werden mit je einem Filterpapier bedeckt. 2 Tropfen der Lösung werden in die Mitte in folgenden Vorschriften darauf gegeben. Zwischen dem zu tropfen der einzelnen Lösungen wird das Filterpapier mit einem Fön getrocknet.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ab/>
      </w:r>
      <w:r w:rsidRPr="00522E7F">
        <w:tab/>
        <w:t xml:space="preserve">1. </w:t>
      </w:r>
      <w:proofErr w:type="spellStart"/>
      <w:r w:rsidRPr="00522E7F">
        <w:t>Kaliumhexacyanoferrat</w:t>
      </w:r>
      <w:proofErr w:type="spellEnd"/>
      <w:r w:rsidRPr="00522E7F">
        <w:t>(II) und Eisen(III)-chlorid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ab/>
      </w:r>
      <w:r w:rsidRPr="00522E7F">
        <w:tab/>
        <w:t xml:space="preserve">2. </w:t>
      </w:r>
      <w:proofErr w:type="spellStart"/>
      <w:r w:rsidRPr="00522E7F">
        <w:t>Kaliumhexacyanoferrat</w:t>
      </w:r>
      <w:proofErr w:type="spellEnd"/>
      <w:r w:rsidRPr="00522E7F">
        <w:t>(II) und Kupfer(II)-chlorid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ab/>
      </w:r>
      <w:r w:rsidRPr="00522E7F">
        <w:tab/>
        <w:t xml:space="preserve">3. </w:t>
      </w:r>
      <w:proofErr w:type="spellStart"/>
      <w:r w:rsidRPr="00522E7F">
        <w:t>Kaliumhexacyanoferrat</w:t>
      </w:r>
      <w:proofErr w:type="spellEnd"/>
      <w:r w:rsidRPr="00522E7F">
        <w:t>(II) und Eisen(III)-chlorid und Kupfer(II)-chlorid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ab/>
      </w:r>
      <w:r w:rsidRPr="00522E7F">
        <w:tab/>
        <w:t xml:space="preserve">4. Kupfer(II)-chlorid und Eisen(III)-chlorid und </w:t>
      </w:r>
      <w:proofErr w:type="spellStart"/>
      <w:r w:rsidRPr="00522E7F">
        <w:t>Kaliumhexacyanoferrat</w:t>
      </w:r>
      <w:proofErr w:type="spellEnd"/>
      <w:r w:rsidRPr="00522E7F">
        <w:t>(II)</w:t>
      </w:r>
    </w:p>
    <w:p w:rsidR="00522E7F" w:rsidRPr="00522E7F" w:rsidRDefault="00522E7F" w:rsidP="00522E7F">
      <w:pPr>
        <w:tabs>
          <w:tab w:val="left" w:pos="1701"/>
          <w:tab w:val="left" w:pos="1985"/>
        </w:tabs>
        <w:spacing w:line="240" w:lineRule="auto"/>
        <w:ind w:left="1979" w:hanging="1979"/>
        <w:jc w:val="center"/>
      </w:pPr>
      <w:r w:rsidRPr="00522E7F">
        <w:rPr>
          <w:noProof/>
          <w:lang w:eastAsia="de-DE"/>
        </w:rPr>
        <w:lastRenderedPageBreak/>
        <w:drawing>
          <wp:inline distT="0" distB="0" distL="0" distR="0" wp14:anchorId="64DF26BA" wp14:editId="5FDD9472">
            <wp:extent cx="4144793" cy="1594884"/>
            <wp:effectExtent l="19050" t="0" r="8107" b="0"/>
            <wp:docPr id="214" name="Bild 214" descr="C:\Users\Alex\Dropbox\Studium\Master of Education\Chemie SVP\03 Salz uns Salzbildung\IMG_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Alex\Dropbox\Studium\Master of Education\Chemie SVP\03 Salz uns Salzbildung\IMG_83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066" t="40867" r="1734" b="1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93" cy="15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7F" w:rsidRPr="00522E7F" w:rsidRDefault="00522E7F" w:rsidP="00522E7F">
      <w:pPr>
        <w:tabs>
          <w:tab w:val="left" w:pos="1701"/>
          <w:tab w:val="left" w:pos="1985"/>
        </w:tabs>
        <w:spacing w:line="240" w:lineRule="auto"/>
        <w:ind w:left="1979" w:hanging="1979"/>
        <w:jc w:val="center"/>
        <w:rPr>
          <w:sz w:val="18"/>
          <w:szCs w:val="18"/>
        </w:rPr>
      </w:pPr>
      <w:r w:rsidRPr="00522E7F">
        <w:rPr>
          <w:sz w:val="18"/>
          <w:szCs w:val="18"/>
        </w:rPr>
        <w:t xml:space="preserve">Abbildung 1. Rungebilder von </w:t>
      </w:r>
      <w:proofErr w:type="spellStart"/>
      <w:r w:rsidRPr="00522E7F">
        <w:rPr>
          <w:sz w:val="18"/>
          <w:szCs w:val="18"/>
        </w:rPr>
        <w:t>Links</w:t>
      </w:r>
      <w:proofErr w:type="spellEnd"/>
      <w:r w:rsidRPr="00522E7F">
        <w:rPr>
          <w:sz w:val="18"/>
          <w:szCs w:val="18"/>
        </w:rPr>
        <w:t xml:space="preserve"> nach rechts. Vorschrift 2 - 4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>Beobachtung:</w:t>
      </w:r>
      <w:proofErr w:type="gramStart"/>
      <w:r w:rsidRPr="00522E7F">
        <w:tab/>
      </w:r>
      <w:r w:rsidRPr="00522E7F">
        <w:tab/>
        <w:t>1. Es ist ein dunkelblaues Zentrum zu sehen</w:t>
      </w:r>
      <w:proofErr w:type="gramEnd"/>
      <w:r w:rsidRPr="00522E7F">
        <w:t>, um das Zentrum ein blauer Ring und außen ein gelb/grünlicher dünner Ring.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ab/>
      </w:r>
      <w:r w:rsidRPr="00522E7F">
        <w:tab/>
        <w:t>2. Es ist ein braunes Zentrum zu sehen, ein farbloses Mittelfeld mit weiterem braunem Ring.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ab/>
      </w:r>
      <w:r w:rsidRPr="00522E7F">
        <w:tab/>
        <w:t>3. Es ist ein blaues Zentrum zu sehen, danach folgt ein Hellblauer Ring, gefolgt von einem dunkelblauen, danach folgt ein brauner Ring, welcher von einem gelben Ring umgeben ist.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ab/>
      </w:r>
      <w:r w:rsidRPr="00522E7F">
        <w:tab/>
        <w:t>4. Es ist ein blaues Zentrum zu sehen, worauf ein gelber Ring folgt, welcher von einem braunen Ring umgeben ist.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</w:pPr>
      <w:r w:rsidRPr="00522E7F">
        <w:t>Deutung:</w:t>
      </w:r>
      <w:r w:rsidRPr="00522E7F">
        <w:tab/>
      </w:r>
      <w:r w:rsidRPr="00522E7F">
        <w:tab/>
        <w:t>Die Eisen(II)- und Kupfer(II)-</w:t>
      </w:r>
      <w:proofErr w:type="spellStart"/>
      <w:r w:rsidRPr="00522E7F">
        <w:t>ionen</w:t>
      </w:r>
      <w:proofErr w:type="spellEnd"/>
      <w:r w:rsidRPr="00522E7F">
        <w:t xml:space="preserve"> bilden Komplexe mit dem </w:t>
      </w:r>
      <w:proofErr w:type="spellStart"/>
      <w:r w:rsidRPr="00522E7F">
        <w:t>Kaliumhexacynoferrat</w:t>
      </w:r>
      <w:proofErr w:type="spellEnd"/>
      <w:r w:rsidRPr="00522E7F">
        <w:t>(II), was zu einer Farbveränderung führt:</w:t>
      </w:r>
    </w:p>
    <w:p w:rsidR="00522E7F" w:rsidRPr="00522E7F" w:rsidRDefault="00522E7F" w:rsidP="00522E7F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 w:rsidRPr="00522E7F">
        <w:tab/>
      </w:r>
      <w:r w:rsidRPr="00522E7F"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[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CN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]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4-</m:t>
                </m:r>
              </m:sup>
            </m:sSup>
          </m:e>
          <m:sub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aq</m:t>
                </m:r>
              </m:e>
            </m:d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Fe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3+</m:t>
                </m:r>
              </m:sup>
            </m:sSup>
          </m:e>
          <m:sub>
            <m:r>
              <w:rPr>
                <w:rFonts w:ascii="Cambria Math" w:eastAsiaTheme="minorEastAsia" w:hAnsi="Cambria Math"/>
              </w:rPr>
              <m:t>(aq)</m:t>
            </m:r>
          </m:sub>
        </m:sSub>
        <m:r>
          <w:rPr>
            <w:rFonts w:ascii="Cambria Math" w:eastAsiaTheme="minorEastAsia" w:hAnsi="Cambria Math"/>
          </w:rPr>
          <m:t>→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[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Fe(Fe(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CN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4-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]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</m:t>
                </m:r>
              </m:sup>
            </m:sSup>
          </m:e>
          <m:sub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aq</m:t>
                </m:r>
              </m:e>
            </m:d>
          </m:sub>
        </m:sSub>
        <m:r>
          <w:rPr>
            <w:rFonts w:ascii="Cambria Math" w:eastAsiaTheme="minorEastAsia" w:hAnsi="Cambria Math"/>
          </w:rPr>
          <m:t xml:space="preserve"> Berliner Blau</m:t>
        </m:r>
      </m:oMath>
    </w:p>
    <w:p w:rsidR="00522E7F" w:rsidRPr="00522E7F" w:rsidRDefault="00522E7F" w:rsidP="00522E7F">
      <w:pPr>
        <w:ind w:left="1418" w:hanging="1418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[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Fe(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)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</w:rPr>
                    <m:t>4-</m:t>
                  </m:r>
                </m:sup>
              </m:sSup>
              <m:r>
                <w:rPr>
                  <w:rFonts w:ascii="Cambria Math" w:eastAsiaTheme="minorEastAsia" w:hAnsi="Cambria Math"/>
                </w:rPr>
                <m:t>]</m:t>
              </m:r>
            </m:e>
            <m:sub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aq</m:t>
                  </m:r>
                </m:e>
              </m:d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Cu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2+</m:t>
                  </m:r>
                </m:sup>
              </m:sSup>
            </m:e>
            <m:sub>
              <m:r>
                <w:rPr>
                  <w:rFonts w:ascii="Cambria Math" w:eastAsiaTheme="minorEastAsia" w:hAnsi="Cambria Math"/>
                </w:rPr>
                <m:t>(aq)</m:t>
              </m:r>
            </m:sub>
          </m:sSub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[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(Fe(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)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]</m:t>
                  </m:r>
                </m:e>
                <m:sup/>
              </m:sSup>
            </m:e>
            <m:sub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</m:d>
            </m:sub>
          </m:sSub>
          <m:r>
            <w:rPr>
              <w:rFonts w:ascii="Cambria Math" w:eastAsiaTheme="minorEastAsia" w:hAnsi="Cambria Math"/>
            </w:rPr>
            <m:t xml:space="preserve"> Rotbrauner NS</m:t>
          </m:r>
        </m:oMath>
      </m:oMathPara>
    </w:p>
    <w:p w:rsidR="00522E7F" w:rsidRPr="00522E7F" w:rsidRDefault="00522E7F" w:rsidP="00522E7F">
      <w:pPr>
        <w:ind w:left="1276" w:hanging="1276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 [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Fe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</m:t>
                              </m:r>
                            </m:sup>
                          </m:sSup>
                        </m:e>
                      </m:d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]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3-</m:t>
                  </m:r>
                </m:sup>
              </m:sSup>
            </m:e>
            <m:sub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aq</m:t>
                  </m:r>
                </m:e>
              </m:d>
            </m:sub>
          </m:sSub>
          <m:r>
            <w:rPr>
              <w:rFonts w:ascii="Cambria Math" w:eastAsiaTheme="minorEastAsia" w:hAnsi="Cambria Math"/>
            </w:rPr>
            <m:t xml:space="preserve">+3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Cu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2+</m:t>
                  </m:r>
                </m:sup>
              </m:sSup>
            </m:e>
            <m:sub>
              <m:r>
                <w:rPr>
                  <w:rFonts w:ascii="Cambria Math" w:eastAsiaTheme="minorEastAsia" w:hAnsi="Cambria Math"/>
                </w:rPr>
                <m:t>(aq)</m:t>
              </m:r>
            </m:sub>
          </m:sSub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[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(Fe(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)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]</m:t>
                  </m:r>
                </m:e>
                <m:sup/>
              </m:sSup>
            </m:e>
            <m:sub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</m:d>
            </m:sub>
          </m:sSub>
          <m:r>
            <w:rPr>
              <w:rFonts w:ascii="Cambria Math" w:eastAsiaTheme="minorEastAsia" w:hAnsi="Cambria Math"/>
            </w:rPr>
            <m:t xml:space="preserve"> grüner NS</m:t>
          </m:r>
        </m:oMath>
      </m:oMathPara>
    </w:p>
    <w:p w:rsidR="00522E7F" w:rsidRPr="00522E7F" w:rsidRDefault="00522E7F" w:rsidP="00522E7F">
      <w:pPr>
        <w:tabs>
          <w:tab w:val="left" w:pos="1701"/>
          <w:tab w:val="left" w:pos="1985"/>
        </w:tabs>
        <w:ind w:left="1985" w:hanging="1985"/>
      </w:pPr>
      <w:r w:rsidRPr="00522E7F">
        <w:t>Entsorgung:</w:t>
      </w:r>
      <w:r w:rsidRPr="00522E7F">
        <w:tab/>
      </w:r>
      <w:r w:rsidRPr="00522E7F">
        <w:tab/>
        <w:t>Die Lösungen werden in den Behälter für Schwermetalle entsorgt.</w:t>
      </w:r>
    </w:p>
    <w:p w:rsidR="000B6082" w:rsidRPr="00522E7F" w:rsidRDefault="00522E7F" w:rsidP="00522E7F">
      <w:r w:rsidRPr="00522E7F">
        <w:t xml:space="preserve">Literatur: </w:t>
      </w:r>
      <w:r w:rsidRPr="00522E7F">
        <w:tab/>
      </w:r>
      <w:r w:rsidRPr="00522E7F">
        <w:tab/>
      </w:r>
      <w:proofErr w:type="spellStart"/>
      <w:r w:rsidRPr="00522E7F">
        <w:t>Schmidkunz</w:t>
      </w:r>
      <w:proofErr w:type="spellEnd"/>
      <w:r w:rsidRPr="00522E7F">
        <w:t xml:space="preserve">, H. (2011). Chemische Freihandversuche Band 2. Hallbergmoos: </w:t>
      </w:r>
      <w:proofErr w:type="spellStart"/>
      <w:r w:rsidRPr="00522E7F">
        <w:t>Aulis</w:t>
      </w:r>
      <w:proofErr w:type="spellEnd"/>
      <w:r w:rsidRPr="00522E7F">
        <w:t>-Verlag.</w:t>
      </w:r>
    </w:p>
    <w:sectPr w:rsidR="000B6082" w:rsidRPr="00522E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E7F"/>
    <w:rsid w:val="000B6082"/>
    <w:rsid w:val="0052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C71C5-51F4-400D-91ED-BDC209E49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2E7F"/>
    <w:pPr>
      <w:spacing w:after="200" w:line="360" w:lineRule="auto"/>
      <w:jc w:val="both"/>
    </w:pPr>
    <w:rPr>
      <w:rFonts w:ascii="Cambria" w:hAnsi="Cambria"/>
      <w:color w:val="171717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22E7F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22E7F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22E7F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22E7F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22E7F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22E7F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22E7F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22E7F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22E7F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22E7F"/>
    <w:rPr>
      <w:rFonts w:asciiTheme="majorHAnsi" w:eastAsiaTheme="majorEastAsia" w:hAnsiTheme="majorHAnsi" w:cstheme="majorBidi"/>
      <w:b/>
      <w:bCs/>
      <w:color w:val="171717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22E7F"/>
    <w:rPr>
      <w:rFonts w:asciiTheme="majorHAnsi" w:eastAsiaTheme="majorEastAsia" w:hAnsiTheme="majorHAnsi" w:cstheme="majorBidi"/>
      <w:b/>
      <w:bCs/>
      <w:color w:val="171717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22E7F"/>
    <w:rPr>
      <w:rFonts w:asciiTheme="majorHAnsi" w:eastAsiaTheme="majorEastAsia" w:hAnsiTheme="majorHAnsi" w:cstheme="majorBidi"/>
      <w:b/>
      <w:bCs/>
      <w:i/>
      <w:color w:val="171717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22E7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22E7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22E7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22E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22E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22E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522E7F"/>
    <w:pPr>
      <w:spacing w:line="240" w:lineRule="auto"/>
    </w:pPr>
    <w:rPr>
      <w:bCs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dcterms:created xsi:type="dcterms:W3CDTF">2015-08-27T09:53:00Z</dcterms:created>
  <dcterms:modified xsi:type="dcterms:W3CDTF">2015-08-27T09:58:00Z</dcterms:modified>
</cp:coreProperties>
</file>