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F4C" w:rsidRPr="00CC307A" w:rsidRDefault="00960F4C" w:rsidP="00960F4C">
      <w:pPr>
        <w:pStyle w:val="berschrift2"/>
        <w:rPr>
          <w:color w:val="auto"/>
        </w:rPr>
      </w:pPr>
      <w:bookmarkStart w:id="0" w:name="_Toc458001687"/>
      <w:r>
        <w:rPr>
          <w:noProof/>
          <w:color w:val="44546A" w:themeColor="text2"/>
          <w:lang w:eastAsia="de-DE"/>
        </w:rPr>
        <mc:AlternateContent>
          <mc:Choice Requires="wps">
            <w:drawing>
              <wp:anchor distT="0" distB="0" distL="114300" distR="114300" simplePos="0" relativeHeight="251659264" behindDoc="0" locked="0" layoutInCell="1" allowOverlap="1">
                <wp:simplePos x="0" y="0"/>
                <wp:positionH relativeFrom="column">
                  <wp:posOffset>-55245</wp:posOffset>
                </wp:positionH>
                <wp:positionV relativeFrom="paragraph">
                  <wp:posOffset>412115</wp:posOffset>
                </wp:positionV>
                <wp:extent cx="5873115" cy="681990"/>
                <wp:effectExtent l="6350" t="6985" r="6985" b="1587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8199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0F4C" w:rsidRPr="00F31EBF" w:rsidRDefault="00960F4C" w:rsidP="00960F4C">
                            <w:pPr>
                              <w:rPr>
                                <w:color w:val="auto"/>
                              </w:rPr>
                            </w:pPr>
                            <w:r>
                              <w:rPr>
                                <w:color w:val="auto"/>
                              </w:rPr>
                              <w:t>Dieser Versuch zeigt die unterschiedlichen Reaktivitäten von Erdalkalimetallen mit Wasser. Aufgrund der Verwendung von Phenolphtalein eignet sich der Versuch nur als Lehrerversuch.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35pt;margin-top:32.45pt;width:462.45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" fillcolor="white [3201]" strokecolor="#4472c4 [3208]" strokeweight="1pt">
                <v:stroke dashstyle="dash"/>
                <v:shadow color="#868686"/>
                <v:textbox>
                  <w:txbxContent>
                    <w:p w:rsidR="00960F4C" w:rsidRPr="00F31EBF" w:rsidRDefault="00960F4C" w:rsidP="00960F4C">
                      <w:pPr>
                        <w:rPr>
                          <w:color w:val="auto"/>
                        </w:rPr>
                      </w:pPr>
                      <w:r>
                        <w:rPr>
                          <w:color w:val="auto"/>
                        </w:rPr>
                        <w:t>Dieser Versuch zeigt die unterschiedlichen Reaktivitäten von Erdalkalimetallen mit Wasser. Aufgrund der Verwendung von Phenolphtalein eignet sich der Versuch nur als Lehrerversuch.</w:t>
                      </w:r>
                    </w:p>
                  </w:txbxContent>
                </v:textbox>
                <w10:wrap type="square"/>
              </v:shape>
            </w:pict>
          </mc:Fallback>
        </mc:AlternateContent>
      </w:r>
      <w:r>
        <w:rPr>
          <w:color w:val="auto"/>
        </w:rPr>
        <w:t>V2</w:t>
      </w:r>
      <w:r w:rsidRPr="00CC307A">
        <w:rPr>
          <w:color w:val="auto"/>
        </w:rPr>
        <w:t xml:space="preserve"> – </w:t>
      </w:r>
      <w:r>
        <w:rPr>
          <w:color w:val="auto"/>
        </w:rPr>
        <w:t>Erdalkalimetalle mit Wasser</w:t>
      </w:r>
      <w:bookmarkEnd w:id="0"/>
    </w:p>
    <w:p w:rsidR="00960F4C" w:rsidRDefault="00960F4C" w:rsidP="00960F4C">
      <w:pPr>
        <w:tabs>
          <w:tab w:val="left" w:pos="1701"/>
          <w:tab w:val="left" w:pos="1985"/>
        </w:tabs>
        <w:rPr>
          <w:color w:val="44546A" w:themeColor="text2"/>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60F4C" w:rsidRPr="009C5E28" w:rsidTr="00EA77B5">
        <w:tc>
          <w:tcPr>
            <w:tcW w:w="9322" w:type="dxa"/>
            <w:gridSpan w:val="9"/>
            <w:shd w:val="clear" w:color="auto" w:fill="4F81BD"/>
            <w:vAlign w:val="center"/>
          </w:tcPr>
          <w:p w:rsidR="00960F4C" w:rsidRPr="00F31EBF" w:rsidRDefault="00960F4C" w:rsidP="00EA77B5">
            <w:pPr>
              <w:spacing w:after="0"/>
              <w:jc w:val="center"/>
              <w:rPr>
                <w:b/>
                <w:bCs/>
                <w:color w:val="FFFFFF" w:themeColor="background1"/>
              </w:rPr>
            </w:pPr>
            <w:r w:rsidRPr="00F31EBF">
              <w:rPr>
                <w:b/>
                <w:bCs/>
                <w:color w:val="FFFFFF" w:themeColor="background1"/>
              </w:rPr>
              <w:t>Gefahrenstoffe</w:t>
            </w:r>
          </w:p>
        </w:tc>
      </w:tr>
      <w:tr w:rsidR="00960F4C"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0F4C" w:rsidRPr="004366A0" w:rsidRDefault="00960F4C" w:rsidP="00EA77B5">
            <w:pPr>
              <w:spacing w:after="0" w:line="276" w:lineRule="auto"/>
              <w:jc w:val="center"/>
              <w:rPr>
                <w:color w:val="auto"/>
              </w:rPr>
            </w:pPr>
            <w:r w:rsidRPr="004366A0">
              <w:rPr>
                <w:color w:val="auto"/>
              </w:rPr>
              <w:t>Phenolphthalein (</w:t>
            </w:r>
            <w:r w:rsidRPr="004366A0">
              <w:rPr>
                <w:i/>
                <w:color w:val="auto"/>
              </w:rPr>
              <w:t>w</w:t>
            </w:r>
            <w:r w:rsidRPr="004366A0">
              <w:rPr>
                <w:color w:val="auto"/>
              </w:rPr>
              <w:t xml:space="preserve"> = 0,1%)</w:t>
            </w:r>
          </w:p>
        </w:tc>
        <w:tc>
          <w:tcPr>
            <w:tcW w:w="3177" w:type="dxa"/>
            <w:gridSpan w:val="3"/>
            <w:tcBorders>
              <w:top w:val="single" w:sz="8" w:space="0" w:color="4F81BD"/>
              <w:bottom w:val="single" w:sz="8" w:space="0" w:color="4F81BD"/>
            </w:tcBorders>
            <w:shd w:val="clear" w:color="auto" w:fill="auto"/>
            <w:vAlign w:val="center"/>
          </w:tcPr>
          <w:p w:rsidR="00960F4C" w:rsidRPr="004366A0" w:rsidRDefault="00960F4C" w:rsidP="00EA77B5">
            <w:pPr>
              <w:spacing w:after="0"/>
              <w:jc w:val="center"/>
              <w:rPr>
                <w:color w:val="auto"/>
              </w:rPr>
            </w:pPr>
            <w:r>
              <w:rPr>
                <w:color w:val="auto"/>
              </w:rPr>
              <w:t>H:350-341-</w:t>
            </w:r>
            <w:r w:rsidRPr="004366A0">
              <w:rPr>
                <w:color w:val="auto"/>
              </w:rPr>
              <w:t>361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0F4C" w:rsidRPr="004366A0" w:rsidRDefault="00960F4C" w:rsidP="00EA77B5">
            <w:pPr>
              <w:spacing w:after="0"/>
              <w:jc w:val="center"/>
              <w:rPr>
                <w:color w:val="auto"/>
              </w:rPr>
            </w:pPr>
            <w:r>
              <w:rPr>
                <w:color w:val="auto"/>
              </w:rPr>
              <w:t>P: 201-281-</w:t>
            </w:r>
            <w:r w:rsidRPr="004366A0">
              <w:rPr>
                <w:color w:val="auto"/>
              </w:rPr>
              <w:t>308+313</w:t>
            </w:r>
          </w:p>
        </w:tc>
      </w:tr>
      <w:tr w:rsidR="00960F4C"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0F4C" w:rsidRDefault="00960F4C" w:rsidP="00EA77B5">
            <w:pPr>
              <w:spacing w:after="0" w:line="276" w:lineRule="auto"/>
              <w:jc w:val="center"/>
            </w:pPr>
            <w:r>
              <w:t>Calciumhydroxid</w:t>
            </w:r>
          </w:p>
        </w:tc>
        <w:tc>
          <w:tcPr>
            <w:tcW w:w="3177" w:type="dxa"/>
            <w:gridSpan w:val="3"/>
            <w:tcBorders>
              <w:top w:val="single" w:sz="8" w:space="0" w:color="4F81BD"/>
              <w:bottom w:val="single" w:sz="8" w:space="0" w:color="4F81BD"/>
            </w:tcBorders>
            <w:shd w:val="clear" w:color="auto" w:fill="auto"/>
            <w:vAlign w:val="center"/>
          </w:tcPr>
          <w:p w:rsidR="00960F4C" w:rsidRDefault="00960F4C" w:rsidP="00EA77B5">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0F4C" w:rsidRDefault="00960F4C" w:rsidP="00EA77B5">
            <w:pPr>
              <w:spacing w:after="0"/>
              <w:jc w:val="center"/>
            </w:pPr>
            <w:r>
              <w:t>P: -</w:t>
            </w:r>
          </w:p>
        </w:tc>
      </w:tr>
      <w:tr w:rsidR="00960F4C"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0F4C" w:rsidRDefault="00960F4C" w:rsidP="00EA77B5">
            <w:pPr>
              <w:spacing w:after="0" w:line="276" w:lineRule="auto"/>
              <w:jc w:val="center"/>
            </w:pPr>
            <w:r>
              <w:t>Magnesiumhydroxid</w:t>
            </w:r>
          </w:p>
        </w:tc>
        <w:tc>
          <w:tcPr>
            <w:tcW w:w="3177" w:type="dxa"/>
            <w:gridSpan w:val="3"/>
            <w:tcBorders>
              <w:top w:val="single" w:sz="8" w:space="0" w:color="4F81BD"/>
              <w:bottom w:val="single" w:sz="8" w:space="0" w:color="4F81BD"/>
            </w:tcBorders>
            <w:shd w:val="clear" w:color="auto" w:fill="auto"/>
            <w:vAlign w:val="center"/>
          </w:tcPr>
          <w:p w:rsidR="00960F4C" w:rsidRDefault="00960F4C" w:rsidP="00EA77B5">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0F4C" w:rsidRDefault="00960F4C" w:rsidP="00EA77B5">
            <w:pPr>
              <w:spacing w:after="0"/>
              <w:jc w:val="center"/>
            </w:pPr>
            <w:r>
              <w:t>P: -</w:t>
            </w:r>
          </w:p>
        </w:tc>
      </w:tr>
      <w:tr w:rsidR="00960F4C"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60F4C" w:rsidRPr="006B1FC4" w:rsidRDefault="00960F4C" w:rsidP="00EA77B5">
            <w:pPr>
              <w:spacing w:after="0" w:line="276" w:lineRule="auto"/>
              <w:jc w:val="center"/>
            </w:pPr>
            <w:r>
              <w:t>Calcium</w:t>
            </w:r>
          </w:p>
        </w:tc>
        <w:tc>
          <w:tcPr>
            <w:tcW w:w="3177" w:type="dxa"/>
            <w:gridSpan w:val="3"/>
            <w:tcBorders>
              <w:top w:val="single" w:sz="8" w:space="0" w:color="4F81BD"/>
              <w:bottom w:val="single" w:sz="8" w:space="0" w:color="4F81BD"/>
            </w:tcBorders>
            <w:shd w:val="clear" w:color="auto" w:fill="auto"/>
            <w:vAlign w:val="center"/>
          </w:tcPr>
          <w:p w:rsidR="00960F4C" w:rsidRPr="006B1FC4" w:rsidRDefault="00960F4C" w:rsidP="00EA77B5">
            <w:pPr>
              <w:spacing w:after="0"/>
              <w:jc w:val="center"/>
            </w:pPr>
            <w:r>
              <w:t>H: 301-332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60F4C" w:rsidRPr="006B1FC4" w:rsidRDefault="00960F4C" w:rsidP="00EA77B5">
            <w:pPr>
              <w:spacing w:after="0"/>
              <w:jc w:val="center"/>
            </w:pPr>
            <w:r>
              <w:t>P: 301+310</w:t>
            </w:r>
          </w:p>
        </w:tc>
      </w:tr>
      <w:tr w:rsidR="00960F4C" w:rsidRPr="009C5E28" w:rsidTr="00EA77B5">
        <w:trPr>
          <w:trHeight w:val="434"/>
        </w:trPr>
        <w:tc>
          <w:tcPr>
            <w:tcW w:w="3027" w:type="dxa"/>
            <w:gridSpan w:val="3"/>
            <w:shd w:val="clear" w:color="auto" w:fill="auto"/>
            <w:vAlign w:val="center"/>
          </w:tcPr>
          <w:p w:rsidR="00960F4C" w:rsidRPr="006B1FC4" w:rsidRDefault="00960F4C" w:rsidP="00EA77B5">
            <w:pPr>
              <w:spacing w:after="0" w:line="276" w:lineRule="auto"/>
              <w:jc w:val="center"/>
              <w:rPr>
                <w:bCs/>
              </w:rPr>
            </w:pPr>
            <w:r>
              <w:rPr>
                <w:color w:val="auto"/>
              </w:rPr>
              <w:t>Magnesium</w:t>
            </w:r>
          </w:p>
        </w:tc>
        <w:tc>
          <w:tcPr>
            <w:tcW w:w="3177" w:type="dxa"/>
            <w:gridSpan w:val="3"/>
            <w:shd w:val="clear" w:color="auto" w:fill="auto"/>
            <w:vAlign w:val="center"/>
          </w:tcPr>
          <w:p w:rsidR="00960F4C" w:rsidRPr="006B1FC4" w:rsidRDefault="00960F4C" w:rsidP="00EA77B5">
            <w:pPr>
              <w:pStyle w:val="Beschriftung"/>
              <w:spacing w:after="0"/>
              <w:jc w:val="center"/>
              <w:rPr>
                <w:sz w:val="22"/>
                <w:szCs w:val="22"/>
              </w:rPr>
            </w:pPr>
            <w:r w:rsidRPr="006B1FC4">
              <w:rPr>
                <w:sz w:val="22"/>
                <w:szCs w:val="22"/>
              </w:rPr>
              <w:t>H: 319</w:t>
            </w:r>
          </w:p>
        </w:tc>
        <w:tc>
          <w:tcPr>
            <w:tcW w:w="3118" w:type="dxa"/>
            <w:gridSpan w:val="3"/>
            <w:shd w:val="clear" w:color="auto" w:fill="auto"/>
            <w:vAlign w:val="center"/>
          </w:tcPr>
          <w:p w:rsidR="00960F4C" w:rsidRPr="006B1FC4" w:rsidRDefault="00960F4C" w:rsidP="00EA77B5">
            <w:pPr>
              <w:pStyle w:val="Beschriftung"/>
              <w:spacing w:after="0"/>
              <w:jc w:val="center"/>
              <w:rPr>
                <w:sz w:val="22"/>
                <w:szCs w:val="22"/>
              </w:rPr>
            </w:pPr>
            <w:r w:rsidRPr="006B1FC4">
              <w:rPr>
                <w:sz w:val="22"/>
                <w:szCs w:val="22"/>
              </w:rPr>
              <w:t>P: 305+351+338</w:t>
            </w:r>
          </w:p>
        </w:tc>
      </w:tr>
      <w:tr w:rsidR="00960F4C" w:rsidRPr="009C5E28" w:rsidTr="00EA77B5">
        <w:tc>
          <w:tcPr>
            <w:tcW w:w="1009" w:type="dxa"/>
            <w:tcBorders>
              <w:top w:val="single" w:sz="8" w:space="0" w:color="4F81BD"/>
              <w:left w:val="single" w:sz="8" w:space="0" w:color="4F81BD"/>
              <w:bottom w:val="single" w:sz="8" w:space="0" w:color="4F81BD"/>
            </w:tcBorders>
            <w:shd w:val="clear" w:color="auto" w:fill="auto"/>
            <w:vAlign w:val="center"/>
          </w:tcPr>
          <w:p w:rsidR="00960F4C" w:rsidRPr="009C5E28" w:rsidRDefault="00960F4C" w:rsidP="00EA77B5">
            <w:pPr>
              <w:spacing w:after="0"/>
              <w:jc w:val="center"/>
              <w:rPr>
                <w:b/>
                <w:bCs/>
              </w:rPr>
            </w:pPr>
            <w:r>
              <w:rPr>
                <w:b/>
                <w:noProof/>
                <w:lang w:eastAsia="de-DE"/>
              </w:rPr>
              <w:drawing>
                <wp:inline distT="0" distB="0" distL="0" distR="0" wp14:anchorId="325BB988" wp14:editId="03E97365">
                  <wp:extent cx="504190" cy="504190"/>
                  <wp:effectExtent l="0" t="0" r="0" b="0"/>
                  <wp:docPr id="5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2DFCAD21" wp14:editId="518A90BF">
                  <wp:extent cx="504190" cy="504190"/>
                  <wp:effectExtent l="19050" t="0" r="0" b="0"/>
                  <wp:docPr id="5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4BDFCD59" wp14:editId="63D5A0A1">
                  <wp:extent cx="504190" cy="504190"/>
                  <wp:effectExtent l="19050" t="0" r="0" b="0"/>
                  <wp:docPr id="5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15801D67" wp14:editId="6EF4B4E2">
                  <wp:extent cx="504190" cy="504190"/>
                  <wp:effectExtent l="19050" t="0" r="0" b="0"/>
                  <wp:docPr id="5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3CCC3258" wp14:editId="00B437B5">
                  <wp:extent cx="504190" cy="504190"/>
                  <wp:effectExtent l="19050" t="0" r="0" b="0"/>
                  <wp:docPr id="6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1CC9D726" wp14:editId="064F8FB8">
                  <wp:extent cx="504190" cy="504190"/>
                  <wp:effectExtent l="19050" t="0" r="0" b="0"/>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35494CB0" wp14:editId="580FDF07">
                  <wp:extent cx="504190" cy="504190"/>
                  <wp:effectExtent l="19050" t="0" r="0" b="0"/>
                  <wp:docPr id="6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73EC04FD" wp14:editId="40886694">
                  <wp:extent cx="511175" cy="511175"/>
                  <wp:effectExtent l="19050" t="0" r="3175" b="0"/>
                  <wp:docPr id="6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60F4C" w:rsidRPr="009C5E28" w:rsidRDefault="00960F4C" w:rsidP="00EA77B5">
            <w:pPr>
              <w:spacing w:after="0"/>
              <w:jc w:val="center"/>
            </w:pPr>
            <w:r>
              <w:rPr>
                <w:noProof/>
                <w:lang w:eastAsia="de-DE"/>
              </w:rPr>
              <w:drawing>
                <wp:inline distT="0" distB="0" distL="0" distR="0" wp14:anchorId="4BD42198" wp14:editId="2419984A">
                  <wp:extent cx="504190" cy="504190"/>
                  <wp:effectExtent l="19050" t="0" r="0" b="0"/>
                  <wp:docPr id="6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r>
    </w:tbl>
    <w:p w:rsidR="00960F4C" w:rsidRDefault="00960F4C" w:rsidP="00960F4C">
      <w:pPr>
        <w:tabs>
          <w:tab w:val="left" w:pos="1701"/>
          <w:tab w:val="left" w:pos="1985"/>
        </w:tabs>
        <w:rPr>
          <w:color w:val="44546A" w:themeColor="text2"/>
        </w:rPr>
      </w:pPr>
    </w:p>
    <w:p w:rsidR="00960F4C" w:rsidRDefault="00960F4C" w:rsidP="00960F4C">
      <w:pPr>
        <w:tabs>
          <w:tab w:val="left" w:pos="1701"/>
          <w:tab w:val="left" w:pos="1985"/>
        </w:tabs>
        <w:ind w:left="1980" w:hanging="1980"/>
        <w:rPr>
          <w:color w:val="auto"/>
        </w:rPr>
      </w:pPr>
      <w:r>
        <w:rPr>
          <w:color w:val="auto"/>
        </w:rPr>
        <w:t>Materialien:</w:t>
      </w:r>
      <w:r>
        <w:rPr>
          <w:color w:val="auto"/>
        </w:rPr>
        <w:tab/>
      </w:r>
      <w:r>
        <w:rPr>
          <w:color w:val="auto"/>
        </w:rPr>
        <w:tab/>
      </w:r>
      <w:r>
        <w:rPr>
          <w:color w:val="auto"/>
        </w:rPr>
        <w:tab/>
        <w:t>2 Reagenzgläser, Reagenzglasständer, Spatel</w:t>
      </w:r>
    </w:p>
    <w:p w:rsidR="00960F4C" w:rsidRDefault="00960F4C" w:rsidP="00960F4C">
      <w:pPr>
        <w:tabs>
          <w:tab w:val="left" w:pos="1701"/>
          <w:tab w:val="left" w:pos="1985"/>
        </w:tabs>
        <w:ind w:left="1980" w:hanging="1980"/>
        <w:rPr>
          <w:color w:val="auto"/>
        </w:rPr>
      </w:pPr>
      <w:r>
        <w:rPr>
          <w:color w:val="auto"/>
        </w:rPr>
        <w:t>Chemikalien:</w:t>
      </w:r>
      <w:r>
        <w:rPr>
          <w:color w:val="auto"/>
        </w:rPr>
        <w:tab/>
      </w:r>
      <w:r>
        <w:rPr>
          <w:color w:val="auto"/>
        </w:rPr>
        <w:tab/>
      </w:r>
      <w:r>
        <w:rPr>
          <w:color w:val="auto"/>
        </w:rPr>
        <w:tab/>
        <w:t>Calciumpulver, Magnesiumpulver, Phenolphtalein-Lösung</w:t>
      </w:r>
    </w:p>
    <w:p w:rsidR="00960F4C" w:rsidRDefault="00960F4C" w:rsidP="00960F4C">
      <w:pPr>
        <w:tabs>
          <w:tab w:val="left" w:pos="1701"/>
          <w:tab w:val="left" w:pos="1985"/>
        </w:tabs>
        <w:ind w:left="1980" w:hanging="1980"/>
        <w:rPr>
          <w:color w:val="auto"/>
        </w:rPr>
      </w:pPr>
      <w:r>
        <w:rPr>
          <w:color w:val="auto"/>
        </w:rPr>
        <w:t>Durchführung:</w:t>
      </w:r>
      <w:r>
        <w:rPr>
          <w:color w:val="auto"/>
        </w:rPr>
        <w:tab/>
      </w:r>
      <w:r>
        <w:rPr>
          <w:color w:val="auto"/>
        </w:rPr>
        <w:tab/>
      </w:r>
      <w:r>
        <w:rPr>
          <w:color w:val="auto"/>
        </w:rPr>
        <w:tab/>
        <w:t>Zwei Reagenzgläser werden bis zu ca. einem Viertel mit Wasser gefüllt. Anschließend wird in beide Reagenzgläser 1-2 Tropfen Phenolphtalein-Lösung gegeben. In das erste Reagenzglas wird eine Spatelspitze Calciumpulver gegeben, in das zweite eine Spatelspitze Magnesiumpulver. Die beiden Pulver sollten möglichst gleichzeitig zugegeben werden.</w:t>
      </w:r>
    </w:p>
    <w:p w:rsidR="00960F4C" w:rsidRDefault="00960F4C" w:rsidP="00960F4C">
      <w:pPr>
        <w:tabs>
          <w:tab w:val="left" w:pos="1701"/>
          <w:tab w:val="left" w:pos="1985"/>
        </w:tabs>
        <w:ind w:left="1980" w:hanging="1980"/>
        <w:rPr>
          <w:color w:val="auto"/>
        </w:rPr>
      </w:pPr>
      <w:r>
        <w:rPr>
          <w:color w:val="auto"/>
        </w:rPr>
        <w:t>Beobachtung:</w:t>
      </w:r>
      <w:r>
        <w:rPr>
          <w:color w:val="auto"/>
        </w:rPr>
        <w:tab/>
      </w:r>
      <w:r>
        <w:rPr>
          <w:color w:val="auto"/>
        </w:rPr>
        <w:tab/>
        <w:t>Beide Lösungen nehmen mit der Zeit eine pinke Färbung an, die Lösung in dem Reagenzglas mit dem Calciumpulver nimmt die Farbe jedoch wesentlich schneller an.</w:t>
      </w:r>
    </w:p>
    <w:p w:rsidR="00960F4C" w:rsidRDefault="00960F4C" w:rsidP="00960F4C">
      <w:pPr>
        <w:tabs>
          <w:tab w:val="left" w:pos="1701"/>
          <w:tab w:val="left" w:pos="1985"/>
        </w:tabs>
        <w:ind w:left="1980" w:hanging="1980"/>
        <w:jc w:val="center"/>
        <w:rPr>
          <w:color w:val="auto"/>
        </w:rPr>
      </w:pPr>
      <w:r>
        <w:rPr>
          <w:noProof/>
          <w:color w:val="auto"/>
          <w:lang w:eastAsia="de-DE"/>
        </w:rPr>
        <w:lastRenderedPageBreak/>
        <w:drawing>
          <wp:inline distT="0" distB="0" distL="0" distR="0" wp14:anchorId="04F42115" wp14:editId="24A5E012">
            <wp:extent cx="2351326" cy="2601311"/>
            <wp:effectExtent l="19050" t="0" r="0" b="0"/>
            <wp:docPr id="55" name="Bild 3" descr="C:\Users\Kasperle\Desktop\SVP\SVP Chemie\Erdalkalimetalle\Erdalkali und Wasser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perle\Desktop\SVP\SVP Chemie\Erdalkalimetalle\Erdalkali und Wasser Schnitt.png"/>
                    <pic:cNvPicPr>
                      <a:picLocks noChangeAspect="1" noChangeArrowheads="1"/>
                    </pic:cNvPicPr>
                  </pic:nvPicPr>
                  <pic:blipFill>
                    <a:blip r:embed="rId14"/>
                    <a:stretch>
                      <a:fillRect/>
                    </a:stretch>
                  </pic:blipFill>
                  <pic:spPr bwMode="auto">
                    <a:xfrm>
                      <a:off x="0" y="0"/>
                      <a:ext cx="2351326" cy="2601311"/>
                    </a:xfrm>
                    <a:prstGeom prst="rect">
                      <a:avLst/>
                    </a:prstGeom>
                    <a:noFill/>
                    <a:ln w="9525">
                      <a:noFill/>
                      <a:miter lim="800000"/>
                      <a:headEnd/>
                      <a:tailEnd/>
                    </a:ln>
                  </pic:spPr>
                </pic:pic>
              </a:graphicData>
            </a:graphic>
          </wp:inline>
        </w:drawing>
      </w:r>
    </w:p>
    <w:p w:rsidR="00960F4C" w:rsidRPr="007A5821" w:rsidRDefault="00960F4C" w:rsidP="00960F4C">
      <w:pPr>
        <w:tabs>
          <w:tab w:val="left" w:pos="1701"/>
          <w:tab w:val="left" w:pos="1985"/>
        </w:tabs>
        <w:ind w:left="1980" w:hanging="1980"/>
        <w:jc w:val="center"/>
        <w:rPr>
          <w:color w:val="auto"/>
          <w:sz w:val="18"/>
          <w:szCs w:val="18"/>
        </w:rPr>
      </w:pPr>
      <w:r>
        <w:rPr>
          <w:color w:val="auto"/>
          <w:sz w:val="18"/>
          <w:szCs w:val="18"/>
        </w:rPr>
        <w:t>Abb. 3: Reaktion von Magnesium (links) und Calcium (rechts) mit Waser.</w:t>
      </w:r>
    </w:p>
    <w:p w:rsidR="00960F4C" w:rsidRDefault="00960F4C" w:rsidP="00960F4C">
      <w:pPr>
        <w:tabs>
          <w:tab w:val="left" w:pos="1701"/>
          <w:tab w:val="left" w:pos="1985"/>
        </w:tabs>
        <w:ind w:left="1980" w:hanging="1980"/>
        <w:rPr>
          <w:color w:val="auto"/>
        </w:rPr>
      </w:pPr>
      <w:r>
        <w:rPr>
          <w:color w:val="auto"/>
        </w:rPr>
        <w:t>Deutung:</w:t>
      </w:r>
      <w:r>
        <w:rPr>
          <w:color w:val="auto"/>
        </w:rPr>
        <w:tab/>
      </w:r>
      <w:r>
        <w:rPr>
          <w:color w:val="auto"/>
        </w:rPr>
        <w:tab/>
        <w:t xml:space="preserve">Die Erdalkalimetalle fungieren als Reduktionsmittel und werden selbst oxidiert. Sie reduzieren Wasserstoff </w:t>
      </w:r>
      <w:proofErr w:type="gramStart"/>
      <w:r>
        <w:rPr>
          <w:color w:val="auto"/>
        </w:rPr>
        <w:t>nach folgender</w:t>
      </w:r>
      <w:proofErr w:type="gramEnd"/>
      <w:r>
        <w:rPr>
          <w:color w:val="auto"/>
        </w:rPr>
        <w:t xml:space="preserve"> Reaktionsgleichung. </w:t>
      </w:r>
    </w:p>
    <w:p w:rsidR="00960F4C" w:rsidRPr="009D2751" w:rsidRDefault="00960F4C" w:rsidP="00960F4C">
      <w:pPr>
        <w:tabs>
          <w:tab w:val="left" w:pos="1701"/>
          <w:tab w:val="left" w:pos="1985"/>
        </w:tabs>
        <w:ind w:left="1980" w:hanging="1980"/>
        <w:rPr>
          <w:color w:val="auto"/>
        </w:rPr>
      </w:pPr>
      <w:r>
        <w:rPr>
          <w:color w:val="auto"/>
        </w:rPr>
        <w:tab/>
      </w:r>
      <w:r>
        <w:rPr>
          <w:color w:val="auto"/>
        </w:rPr>
        <w:tab/>
      </w:r>
      <m:oMath>
        <m:sSub>
          <m:sSubPr>
            <m:ctrlPr>
              <w:rPr>
                <w:rFonts w:ascii="Cambria Math" w:hAnsi="Cambria Math"/>
                <w:i/>
                <w:color w:val="auto"/>
              </w:rPr>
            </m:ctrlPr>
          </m:sSubPr>
          <m:e>
            <m:r>
              <w:rPr>
                <w:rFonts w:ascii="Cambria Math" w:hAnsi="Cambria Math"/>
                <w:color w:val="auto"/>
              </w:rPr>
              <m:t>Me</m:t>
            </m:r>
          </m:e>
          <m:sub>
            <m:r>
              <w:rPr>
                <w:rFonts w:ascii="Cambria Math" w:hAnsi="Cambria Math"/>
                <w:color w:val="auto"/>
              </w:rPr>
              <m:t>(s)</m:t>
            </m:r>
          </m:sub>
        </m:sSub>
        <m:r>
          <w:rPr>
            <w:rFonts w:ascii="Cambria Math" w:hAnsi="Cambria Math"/>
            <w:color w:val="auto"/>
          </w:rPr>
          <m:t xml:space="preserve">+ 2 </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(l)</m:t>
            </m:r>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Me(OH)</m:t>
            </m:r>
          </m:e>
          <m:sub>
            <m:r>
              <w:rPr>
                <w:rFonts w:ascii="Cambria Math" w:hAnsi="Cambria Math"/>
                <w:color w:val="auto"/>
              </w:rPr>
              <m:t>2 (aq)</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H</m:t>
            </m:r>
          </m:e>
          <m:sub>
            <m:r>
              <w:rPr>
                <w:rFonts w:ascii="Cambria Math" w:hAnsi="Cambria Math"/>
                <w:color w:val="auto"/>
              </w:rPr>
              <m:t>2 (g)</m:t>
            </m:r>
          </m:sub>
        </m:sSub>
      </m:oMath>
      <w:r w:rsidRPr="009D2751">
        <w:rPr>
          <w:color w:val="auto"/>
        </w:rPr>
        <w:tab/>
        <w:t>Me = Erdalkalimetall</w:t>
      </w:r>
    </w:p>
    <w:p w:rsidR="00960F4C" w:rsidRDefault="00960F4C" w:rsidP="00960F4C">
      <w:pPr>
        <w:tabs>
          <w:tab w:val="left" w:pos="1701"/>
          <w:tab w:val="left" w:pos="1985"/>
        </w:tabs>
        <w:ind w:left="1980" w:hanging="1980"/>
        <w:rPr>
          <w:color w:val="auto"/>
        </w:rPr>
      </w:pPr>
      <w:r w:rsidRPr="009D2751">
        <w:rPr>
          <w:color w:val="auto"/>
        </w:rPr>
        <w:tab/>
      </w:r>
      <w:r w:rsidRPr="009D2751">
        <w:rPr>
          <w:color w:val="auto"/>
        </w:rPr>
        <w:tab/>
      </w:r>
      <w:r w:rsidRPr="00221AD5">
        <w:rPr>
          <w:color w:val="auto"/>
        </w:rPr>
        <w:t xml:space="preserve">Die Heftigkeit der Reaktion </w:t>
      </w:r>
      <w:r>
        <w:rPr>
          <w:color w:val="auto"/>
        </w:rPr>
        <w:t xml:space="preserve">mit Wasser nimmt bei den Erdalkalimetallen mit zunehmender Periode zu. Dies lässt sich durch die Abnahme der effektiven Kernladung erklären. Je höher die Periode, desto größer ist die Atomhülle. </w:t>
      </w:r>
      <w:proofErr w:type="gramStart"/>
      <w:r>
        <w:rPr>
          <w:color w:val="auto"/>
        </w:rPr>
        <w:t>Mit wachsender</w:t>
      </w:r>
      <w:proofErr w:type="gramEnd"/>
      <w:r>
        <w:rPr>
          <w:color w:val="auto"/>
        </w:rPr>
        <w:t xml:space="preserve"> Atomhülle erhöht sich der Abstand der Außenelektronen zum Kern, wodurch die Anziehungskraft des positiv geladenen Atomkerns noch schwächer auf die äußeren Elektronen wirkt.</w:t>
      </w:r>
    </w:p>
    <w:p w:rsidR="00960F4C" w:rsidRDefault="00960F4C" w:rsidP="00960F4C">
      <w:pPr>
        <w:tabs>
          <w:tab w:val="left" w:pos="1701"/>
          <w:tab w:val="left" w:pos="1985"/>
        </w:tabs>
        <w:ind w:left="1980" w:hanging="1980"/>
        <w:rPr>
          <w:color w:val="auto"/>
        </w:rPr>
      </w:pPr>
      <w:r>
        <w:rPr>
          <w:color w:val="auto"/>
        </w:rPr>
        <w:t>Entsorgung:</w:t>
      </w:r>
      <w:r>
        <w:rPr>
          <w:color w:val="auto"/>
        </w:rPr>
        <w:tab/>
      </w:r>
      <w:r>
        <w:rPr>
          <w:color w:val="auto"/>
        </w:rPr>
        <w:tab/>
        <w:t>Die Lösungen werden im Säure-Base Behälter entsorgt, die Feststoffe über den Feststoffabfall.</w:t>
      </w:r>
    </w:p>
    <w:p w:rsidR="00960F4C" w:rsidRDefault="00960F4C" w:rsidP="00960F4C">
      <w:pPr>
        <w:tabs>
          <w:tab w:val="left" w:pos="1701"/>
          <w:tab w:val="left" w:pos="1985"/>
        </w:tabs>
        <w:ind w:left="1980" w:hanging="1980"/>
      </w:pPr>
      <w:r>
        <w:rPr>
          <w:color w:val="auto"/>
        </w:rPr>
        <w:t>Literatur:</w:t>
      </w:r>
      <w:r>
        <w:rPr>
          <w:color w:val="auto"/>
        </w:rPr>
        <w:tab/>
      </w:r>
      <w:r>
        <w:rPr>
          <w:color w:val="auto"/>
        </w:rPr>
        <w:tab/>
      </w:r>
      <w:r>
        <w:t xml:space="preserve">Pfitzner, A. </w:t>
      </w:r>
      <w:r w:rsidRPr="00BD15BB">
        <w:t>http://www.uni-regensburg.de/chemie-pharmazie/anorgan</w:t>
      </w:r>
      <w:r>
        <w:t xml:space="preserve"> </w:t>
      </w:r>
      <w:r w:rsidRPr="002A4F2A">
        <w:t>ische-chemie-pfitzner/medien/data-demo/2011-2012/ws2011-2012/erdalkalimetalle_srkm.pdf</w:t>
      </w:r>
      <w:r>
        <w:t xml:space="preserve"> (Zuletzt abgerufen am 28.07.2016)</w:t>
      </w:r>
    </w:p>
    <w:p w:rsidR="00604268" w:rsidRDefault="00960F4C" w:rsidP="00960F4C">
      <w:r>
        <w:rPr>
          <w:noProof/>
          <w:lang w:eastAsia="de-DE"/>
        </w:rPr>
        <mc:AlternateContent>
          <mc:Choice Requires="wps">
            <w:drawing>
              <wp:inline distT="0" distB="0" distL="0" distR="0">
                <wp:extent cx="5873115" cy="1311275"/>
                <wp:effectExtent l="8890" t="13970" r="13970" b="825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12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0F4C" w:rsidRPr="00F31EBF" w:rsidRDefault="00960F4C" w:rsidP="00960F4C">
                            <w:pPr>
                              <w:rPr>
                                <w:color w:val="auto"/>
                              </w:rPr>
                            </w:pPr>
                            <w:r w:rsidRPr="00F31EBF">
                              <w:rPr>
                                <w:b/>
                                <w:color w:val="auto"/>
                              </w:rPr>
                              <w:t xml:space="preserve">Unterrichtsanschlüsse </w:t>
                            </w:r>
                            <w:r>
                              <w:rPr>
                                <w:color w:val="auto"/>
                              </w:rPr>
                              <w:t>Mit diesem Versuch lassen sich die Eigenschaften der Erdalkalimetalle überprüfen. Er eignet sich besonders zur Charakterisierung der unterschiedlichen Metalle und um die Trends innerhalb der Hauptgruppe kennenzulernen. Der Versuch kann auch als Schülerversuch durchgeführt werden, dann muss allerdings das Phenolphtalein weggelassen werden.</w:t>
                            </w: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1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" fillcolor="white [3201]" strokecolor="#ed7d31 [3205]" strokeweight="1pt">
                <v:stroke dashstyle="dash"/>
                <v:shadow color="#868686"/>
                <v:textbox>
                  <w:txbxContent>
                    <w:p w:rsidR="00960F4C" w:rsidRPr="00F31EBF" w:rsidRDefault="00960F4C" w:rsidP="00960F4C">
                      <w:pPr>
                        <w:rPr>
                          <w:color w:val="auto"/>
                        </w:rPr>
                      </w:pPr>
                      <w:r w:rsidRPr="00F31EBF">
                        <w:rPr>
                          <w:b/>
                          <w:color w:val="auto"/>
                        </w:rPr>
                        <w:t xml:space="preserve">Unterrichtsanschlüsse </w:t>
                      </w:r>
                      <w:r>
                        <w:rPr>
                          <w:color w:val="auto"/>
                        </w:rPr>
                        <w:t>Mit diesem Versuch lassen sich die Eigenschaften der Erdalkalimetalle überprüfen. Er eignet sich besonders zur Charakterisierung der unterschiedlichen Metalle und um die Trends innerhalb der Hauptgruppe kennenzulernen. Der Versuch kann auch als Schülerversuch durchgeführt werden, dann muss allerdings das Phenolphtalein weggelassen werden.</w:t>
                      </w:r>
                    </w:p>
                  </w:txbxContent>
                </v:textbox>
                <w10:anchorlock/>
              </v:shape>
            </w:pict>
          </mc:Fallback>
        </mc:AlternateContent>
      </w:r>
      <w:bookmarkStart w:id="1" w:name="_GoBack"/>
      <w:bookmarkEnd w:id="1"/>
    </w:p>
    <w:sectPr w:rsidR="006042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D5"/>
    <w:rsid w:val="00911AD5"/>
    <w:rsid w:val="00960F4C"/>
    <w:rsid w:val="00E45138"/>
    <w:rsid w:val="00FB4A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EFFECB-1559-47FC-8AFB-A44B50BC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960F4C"/>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960F4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60F4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60F4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60F4C"/>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960F4C"/>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960F4C"/>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960F4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60F4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60F4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60F4C"/>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960F4C"/>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960F4C"/>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960F4C"/>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960F4C"/>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960F4C"/>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960F4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60F4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60F4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960F4C"/>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1683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Jannik</dc:creator>
  <cp:keywords/>
  <dc:description/>
  <cp:lastModifiedBy>Jannik</cp:lastModifiedBy>
  <cp:revision>2</cp:revision>
  <dcterms:created xsi:type="dcterms:W3CDTF">2016-08-08T15:20:00Z</dcterms:created>
  <dcterms:modified xsi:type="dcterms:W3CDTF">2016-08-08T15:20:00Z</dcterms:modified>
</cp:coreProperties>
</file>