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A24EE6" w:rsidP="00F31EBF">
      <w:pPr>
        <w:spacing w:line="276" w:lineRule="auto"/>
      </w:pPr>
      <w:r>
        <w:t>Kristina Breithaupt</w:t>
      </w:r>
    </w:p>
    <w:p w:rsidR="00954DC8" w:rsidRDefault="00A24EE6" w:rsidP="00F31EBF">
      <w:pPr>
        <w:spacing w:line="276" w:lineRule="auto"/>
      </w:pPr>
      <w:r>
        <w:t>Sommersemester 2016</w:t>
      </w:r>
    </w:p>
    <w:p w:rsidR="00954DC8" w:rsidRDefault="00954DC8" w:rsidP="00F31EBF">
      <w:pPr>
        <w:spacing w:line="276" w:lineRule="auto"/>
      </w:pPr>
      <w:r>
        <w:t xml:space="preserve">Klassenstufen </w:t>
      </w:r>
      <w:r w:rsidR="00A24EE6">
        <w:t>9 &amp; 10</w:t>
      </w:r>
    </w:p>
    <w:p w:rsidR="008B7FD6" w:rsidRDefault="00954DC8" w:rsidP="00954DC8">
      <w:r>
        <w:tab/>
      </w:r>
      <w:r w:rsidR="00F67FFD" w:rsidRPr="00F67FFD">
        <w:rPr>
          <w:noProof/>
          <w:lang w:eastAsia="de-DE"/>
        </w:rPr>
        <w:drawing>
          <wp:inline distT="0" distB="0" distL="0" distR="0">
            <wp:extent cx="1225638" cy="2880000"/>
            <wp:effectExtent l="438150" t="247650" r="393612" b="20610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rot="20998050">
                      <a:off x="0" y="0"/>
                      <a:ext cx="1225638" cy="288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67FFD" w:rsidRPr="00F67FFD">
        <w:rPr>
          <w:noProof/>
          <w:lang w:eastAsia="de-DE"/>
        </w:rPr>
        <w:drawing>
          <wp:inline distT="0" distB="0" distL="0" distR="0">
            <wp:extent cx="1141588" cy="3180991"/>
            <wp:effectExtent l="190500" t="152400" r="172862" b="114659"/>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1142244" cy="31828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B7FD6" w:rsidRDefault="008B7FD6" w:rsidP="00F67FFD">
      <w:pPr>
        <w:jc w:val="center"/>
      </w:pPr>
    </w:p>
    <w:p w:rsidR="008B7FD6" w:rsidRDefault="00D837BB" w:rsidP="00F67FFD">
      <w:pPr>
        <w:jc w:val="cente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6.65pt;margin-top:247.65pt;width:448.5pt;height:0;z-index:251784192" o:connectortype="straight"/>
        </w:pict>
      </w:r>
      <w:r w:rsidR="00F67FFD" w:rsidRPr="00F67FFD">
        <w:rPr>
          <w:rFonts w:ascii="Times New Roman" w:hAnsi="Times New Roman" w:cs="Times New Roman"/>
          <w:noProof/>
          <w:sz w:val="52"/>
          <w:szCs w:val="24"/>
          <w:lang w:eastAsia="de-DE"/>
        </w:rPr>
        <w:drawing>
          <wp:inline distT="0" distB="0" distL="0" distR="0">
            <wp:extent cx="1398558" cy="2663188"/>
            <wp:effectExtent l="190500" t="152400" r="144492" b="99062"/>
            <wp:docPr id="21"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a:stretch>
                      <a:fillRect/>
                    </a:stretch>
                  </pic:blipFill>
                  <pic:spPr bwMode="auto">
                    <a:xfrm>
                      <a:off x="0" y="0"/>
                      <a:ext cx="1400947" cy="26677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31A49" w:rsidRDefault="00D837BB" w:rsidP="00BC04E0">
      <w:pPr>
        <w:autoSpaceDE w:val="0"/>
        <w:autoSpaceDN w:val="0"/>
        <w:adjustRightInd w:val="0"/>
        <w:jc w:val="center"/>
        <w:rPr>
          <w:rFonts w:ascii="Times New Roman" w:hAnsi="Times New Roman" w:cs="Times New Roman"/>
          <w:b/>
          <w:sz w:val="52"/>
          <w:szCs w:val="24"/>
        </w:rPr>
        <w:sectPr w:rsidR="00A31A49" w:rsidSect="0007729E">
          <w:headerReference w:type="default" r:id="rId11"/>
          <w:footerReference w:type="default" r:id="rId12"/>
          <w:pgSz w:w="11906" w:h="16838"/>
          <w:pgMar w:top="1417" w:right="1417" w:bottom="709" w:left="1417" w:header="708" w:footer="708" w:gutter="0"/>
          <w:pgNumType w:start="0"/>
          <w:cols w:space="708"/>
          <w:titlePg/>
          <w:docGrid w:linePitch="360"/>
        </w:sect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185FAC">
        <w:rPr>
          <w:rFonts w:ascii="Times New Roman" w:hAnsi="Times New Roman" w:cs="Times New Roman"/>
          <w:b/>
          <w:sz w:val="52"/>
          <w:szCs w:val="24"/>
        </w:rPr>
        <w:t>Titrationen (Alltagschemikalien)</w:t>
      </w:r>
    </w:p>
    <w:p w:rsidR="00A90BD6" w:rsidRDefault="00D837BB">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54.15pt;z-index:251782144;mso-position-horizontal:center;mso-width-relative:margin;mso-height-relative:margin" fillcolor="white [3201]" strokecolor="#9bbb59 [3206]" strokeweight="1pt">
            <v:stroke dashstyle="dash"/>
            <v:shadow color="#868686"/>
            <v:textbox>
              <w:txbxContent>
                <w:p w:rsidR="00777888" w:rsidRDefault="00777888">
                  <w:pPr>
                    <w:pBdr>
                      <w:bottom w:val="single" w:sz="6" w:space="1" w:color="auto"/>
                    </w:pBdr>
                    <w:rPr>
                      <w:b/>
                    </w:rPr>
                  </w:pPr>
                  <w:r w:rsidRPr="00A90BD6">
                    <w:rPr>
                      <w:b/>
                    </w:rPr>
                    <w:t>Auf einen Blick:</w:t>
                  </w:r>
                </w:p>
                <w:p w:rsidR="00777888" w:rsidRPr="00F31EBF" w:rsidRDefault="00777888" w:rsidP="004944F3">
                  <w:pPr>
                    <w:rPr>
                      <w:i/>
                      <w:color w:val="auto"/>
                    </w:rPr>
                  </w:pPr>
                  <w:r>
                    <w:rPr>
                      <w:rFonts w:asciiTheme="majorHAnsi" w:hAnsiTheme="majorHAnsi"/>
                      <w:color w:val="auto"/>
                    </w:rPr>
                    <w:t xml:space="preserve">In diesem Protokoll sind zwei Schüler-, sowie zwei Lehrerversuche zum Thema ‚Titrationen mit Alltagschemikalien‘ dargestellt. Es wird die Diversität der Titrationen aufgezeigt. Zum einen wird die klassische Säure-Base-Titration bei Coca Cola und festem Rohrreiniger durchgeführt und eine </w:t>
                  </w:r>
                  <w:proofErr w:type="spellStart"/>
                  <w:r>
                    <w:rPr>
                      <w:rFonts w:asciiTheme="majorHAnsi" w:hAnsiTheme="majorHAnsi"/>
                      <w:color w:val="auto"/>
                    </w:rPr>
                    <w:t>Redoxtitration</w:t>
                  </w:r>
                  <w:proofErr w:type="spellEnd"/>
                  <w:r>
                    <w:rPr>
                      <w:rFonts w:asciiTheme="majorHAnsi" w:hAnsiTheme="majorHAnsi"/>
                      <w:color w:val="auto"/>
                    </w:rPr>
                    <w:t xml:space="preserve"> zur Bestimmung des </w:t>
                  </w:r>
                  <w:proofErr w:type="spellStart"/>
                  <w:r>
                    <w:rPr>
                      <w:rFonts w:asciiTheme="majorHAnsi" w:hAnsiTheme="majorHAnsi"/>
                      <w:color w:val="auto"/>
                    </w:rPr>
                    <w:t>Sulfitgehalts</w:t>
                  </w:r>
                  <w:proofErr w:type="spellEnd"/>
                  <w:r>
                    <w:rPr>
                      <w:rFonts w:asciiTheme="majorHAnsi" w:hAnsiTheme="majorHAnsi"/>
                      <w:color w:val="auto"/>
                    </w:rPr>
                    <w:t xml:space="preserve"> in Weißwein, sowie die komplexometrische Titration einer Wasserprobe, damit der Calciumgehalt bestimmt werden kann.</w:t>
                  </w:r>
                  <w:r w:rsidRPr="00F31EBF">
                    <w:rPr>
                      <w:rFonts w:asciiTheme="majorHAnsi" w:hAnsiTheme="majorHAnsi"/>
                      <w:color w:val="auto"/>
                    </w:rPr>
                    <w:t xml:space="preserve">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891B01" w:rsidRDefault="00D837BB">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7758469" w:history="1">
            <w:r w:rsidR="00891B01" w:rsidRPr="008C7B92">
              <w:rPr>
                <w:rStyle w:val="Hyperlink"/>
                <w:noProof/>
              </w:rPr>
              <w:t>1</w:t>
            </w:r>
            <w:r w:rsidR="00891B01">
              <w:rPr>
                <w:rFonts w:asciiTheme="minorHAnsi" w:eastAsiaTheme="minorEastAsia" w:hAnsiTheme="minorHAnsi"/>
                <w:noProof/>
                <w:color w:val="auto"/>
                <w:lang w:eastAsia="de-DE"/>
              </w:rPr>
              <w:tab/>
            </w:r>
            <w:r w:rsidR="00891B01" w:rsidRPr="008C7B92">
              <w:rPr>
                <w:rStyle w:val="Hyperlink"/>
                <w:noProof/>
              </w:rPr>
              <w:t>Beschreibung des Themas und zugehörige Lernziele</w:t>
            </w:r>
            <w:r w:rsidR="00891B01">
              <w:rPr>
                <w:noProof/>
                <w:webHidden/>
              </w:rPr>
              <w:tab/>
            </w:r>
            <w:r>
              <w:rPr>
                <w:noProof/>
                <w:webHidden/>
              </w:rPr>
              <w:fldChar w:fldCharType="begin"/>
            </w:r>
            <w:r w:rsidR="00891B01">
              <w:rPr>
                <w:noProof/>
                <w:webHidden/>
              </w:rPr>
              <w:instrText xml:space="preserve"> PAGEREF _Toc457758469 \h </w:instrText>
            </w:r>
            <w:r>
              <w:rPr>
                <w:noProof/>
                <w:webHidden/>
              </w:rPr>
            </w:r>
            <w:r>
              <w:rPr>
                <w:noProof/>
                <w:webHidden/>
              </w:rPr>
              <w:fldChar w:fldCharType="separate"/>
            </w:r>
            <w:r w:rsidR="00777888">
              <w:rPr>
                <w:noProof/>
                <w:webHidden/>
              </w:rPr>
              <w:t>1</w:t>
            </w:r>
            <w:r>
              <w:rPr>
                <w:noProof/>
                <w:webHidden/>
              </w:rPr>
              <w:fldChar w:fldCharType="end"/>
            </w:r>
          </w:hyperlink>
        </w:p>
        <w:p w:rsidR="00891B01" w:rsidRDefault="00D837BB">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HYPERLINK \l "_Toc457758470"</w:instrText>
          </w:r>
          <w:r>
            <w:fldChar w:fldCharType="separate"/>
          </w:r>
          <w:r w:rsidR="00891B01" w:rsidRPr="008C7B92">
            <w:rPr>
              <w:rStyle w:val="Hyperlink"/>
              <w:noProof/>
            </w:rPr>
            <w:t>2</w:t>
          </w:r>
          <w:r w:rsidR="00891B01">
            <w:rPr>
              <w:rFonts w:asciiTheme="minorHAnsi" w:eastAsiaTheme="minorEastAsia" w:hAnsiTheme="minorHAnsi"/>
              <w:noProof/>
              <w:color w:val="auto"/>
              <w:lang w:eastAsia="de-DE"/>
            </w:rPr>
            <w:tab/>
          </w:r>
          <w:r w:rsidR="00891B01" w:rsidRPr="008C7B92">
            <w:rPr>
              <w:rStyle w:val="Hyperlink"/>
              <w:noProof/>
            </w:rPr>
            <w:t>Relevanz des Themas für SuS der Klassenstufe 9/10 und didaktische Reduktion</w:t>
          </w:r>
          <w:r w:rsidR="00891B01">
            <w:rPr>
              <w:noProof/>
              <w:webHidden/>
            </w:rPr>
            <w:tab/>
          </w:r>
          <w:r>
            <w:rPr>
              <w:noProof/>
              <w:webHidden/>
            </w:rPr>
            <w:fldChar w:fldCharType="begin"/>
          </w:r>
          <w:r w:rsidR="00891B01">
            <w:rPr>
              <w:noProof/>
              <w:webHidden/>
            </w:rPr>
            <w:instrText xml:space="preserve"> PAGEREF _Toc457758470 \h </w:instrText>
          </w:r>
          <w:r>
            <w:rPr>
              <w:noProof/>
              <w:webHidden/>
            </w:rPr>
          </w:r>
          <w:r>
            <w:rPr>
              <w:noProof/>
              <w:webHidden/>
            </w:rPr>
            <w:fldChar w:fldCharType="separate"/>
          </w:r>
          <w:r w:rsidR="00777888">
            <w:rPr>
              <w:noProof/>
              <w:webHidden/>
            </w:rPr>
            <w:t>2</w:t>
          </w:r>
          <w:r>
            <w:rPr>
              <w:noProof/>
              <w:webHidden/>
            </w:rPr>
            <w:fldChar w:fldCharType="end"/>
          </w:r>
          <w:r>
            <w:fldChar w:fldCharType="end"/>
          </w:r>
        </w:p>
        <w:p w:rsidR="00891B01" w:rsidRDefault="00D837BB">
          <w:pPr>
            <w:pStyle w:val="Verzeichnis1"/>
            <w:tabs>
              <w:tab w:val="left" w:pos="440"/>
              <w:tab w:val="right" w:leader="dot" w:pos="9062"/>
            </w:tabs>
            <w:rPr>
              <w:rFonts w:asciiTheme="minorHAnsi" w:eastAsiaTheme="minorEastAsia" w:hAnsiTheme="minorHAnsi"/>
              <w:noProof/>
              <w:color w:val="auto"/>
              <w:lang w:eastAsia="de-DE"/>
            </w:rPr>
          </w:pPr>
          <w:hyperlink w:anchor="_Toc457758471" w:history="1">
            <w:r w:rsidR="00891B01" w:rsidRPr="008C7B92">
              <w:rPr>
                <w:rStyle w:val="Hyperlink"/>
                <w:noProof/>
              </w:rPr>
              <w:t>3</w:t>
            </w:r>
            <w:r w:rsidR="00891B01">
              <w:rPr>
                <w:rFonts w:asciiTheme="minorHAnsi" w:eastAsiaTheme="minorEastAsia" w:hAnsiTheme="minorHAnsi"/>
                <w:noProof/>
                <w:color w:val="auto"/>
                <w:lang w:eastAsia="de-DE"/>
              </w:rPr>
              <w:tab/>
            </w:r>
            <w:r w:rsidR="00891B01" w:rsidRPr="008C7B92">
              <w:rPr>
                <w:rStyle w:val="Hyperlink"/>
                <w:noProof/>
              </w:rPr>
              <w:t>Lehrerversuche</w:t>
            </w:r>
            <w:r w:rsidR="00891B01">
              <w:rPr>
                <w:noProof/>
                <w:webHidden/>
              </w:rPr>
              <w:tab/>
            </w:r>
            <w:r>
              <w:rPr>
                <w:noProof/>
                <w:webHidden/>
              </w:rPr>
              <w:fldChar w:fldCharType="begin"/>
            </w:r>
            <w:r w:rsidR="00891B01">
              <w:rPr>
                <w:noProof/>
                <w:webHidden/>
              </w:rPr>
              <w:instrText xml:space="preserve"> PAGEREF _Toc457758471 \h </w:instrText>
            </w:r>
            <w:r>
              <w:rPr>
                <w:noProof/>
                <w:webHidden/>
              </w:rPr>
            </w:r>
            <w:r>
              <w:rPr>
                <w:noProof/>
                <w:webHidden/>
              </w:rPr>
              <w:fldChar w:fldCharType="separate"/>
            </w:r>
            <w:r w:rsidR="00777888">
              <w:rPr>
                <w:noProof/>
                <w:webHidden/>
              </w:rPr>
              <w:t>2</w:t>
            </w:r>
            <w:r>
              <w:rPr>
                <w:noProof/>
                <w:webHidden/>
              </w:rPr>
              <w:fldChar w:fldCharType="end"/>
            </w:r>
          </w:hyperlink>
        </w:p>
        <w:p w:rsidR="00891B01" w:rsidRDefault="00D837BB">
          <w:pPr>
            <w:pStyle w:val="Verzeichnis2"/>
            <w:tabs>
              <w:tab w:val="left" w:pos="880"/>
              <w:tab w:val="right" w:leader="dot" w:pos="9062"/>
            </w:tabs>
            <w:rPr>
              <w:rFonts w:asciiTheme="minorHAnsi" w:eastAsiaTheme="minorEastAsia" w:hAnsiTheme="minorHAnsi"/>
              <w:noProof/>
              <w:color w:val="auto"/>
              <w:lang w:eastAsia="de-DE"/>
            </w:rPr>
          </w:pPr>
          <w:hyperlink w:anchor="_Toc457758472" w:history="1">
            <w:r w:rsidR="00891B01" w:rsidRPr="008C7B92">
              <w:rPr>
                <w:rStyle w:val="Hyperlink"/>
                <w:noProof/>
              </w:rPr>
              <w:t>3.1</w:t>
            </w:r>
            <w:r w:rsidR="00891B01">
              <w:rPr>
                <w:rFonts w:asciiTheme="minorHAnsi" w:eastAsiaTheme="minorEastAsia" w:hAnsiTheme="minorHAnsi"/>
                <w:noProof/>
                <w:color w:val="auto"/>
                <w:lang w:eastAsia="de-DE"/>
              </w:rPr>
              <w:tab/>
            </w:r>
            <w:r w:rsidR="00891B01" w:rsidRPr="008C7B92">
              <w:rPr>
                <w:rStyle w:val="Hyperlink"/>
                <w:noProof/>
              </w:rPr>
              <w:t>V1 – Bestimmung des Sulfitgehaltes in Weißwein mittels Redoxtitration</w:t>
            </w:r>
            <w:r w:rsidR="00891B01">
              <w:rPr>
                <w:noProof/>
                <w:webHidden/>
              </w:rPr>
              <w:tab/>
            </w:r>
            <w:r>
              <w:rPr>
                <w:noProof/>
                <w:webHidden/>
              </w:rPr>
              <w:fldChar w:fldCharType="begin"/>
            </w:r>
            <w:r w:rsidR="00891B01">
              <w:rPr>
                <w:noProof/>
                <w:webHidden/>
              </w:rPr>
              <w:instrText xml:space="preserve"> PAGEREF _Toc457758472 \h </w:instrText>
            </w:r>
            <w:r>
              <w:rPr>
                <w:noProof/>
                <w:webHidden/>
              </w:rPr>
            </w:r>
            <w:r>
              <w:rPr>
                <w:noProof/>
                <w:webHidden/>
              </w:rPr>
              <w:fldChar w:fldCharType="separate"/>
            </w:r>
            <w:r w:rsidR="00777888">
              <w:rPr>
                <w:noProof/>
                <w:webHidden/>
              </w:rPr>
              <w:t>2</w:t>
            </w:r>
            <w:r>
              <w:rPr>
                <w:noProof/>
                <w:webHidden/>
              </w:rPr>
              <w:fldChar w:fldCharType="end"/>
            </w:r>
          </w:hyperlink>
        </w:p>
        <w:p w:rsidR="00891B01" w:rsidRDefault="00D837BB">
          <w:pPr>
            <w:pStyle w:val="Verzeichnis2"/>
            <w:tabs>
              <w:tab w:val="left" w:pos="880"/>
              <w:tab w:val="right" w:leader="dot" w:pos="9062"/>
            </w:tabs>
            <w:rPr>
              <w:rFonts w:asciiTheme="minorHAnsi" w:eastAsiaTheme="minorEastAsia" w:hAnsiTheme="minorHAnsi"/>
              <w:noProof/>
              <w:color w:val="auto"/>
              <w:lang w:eastAsia="de-DE"/>
            </w:rPr>
          </w:pPr>
          <w:hyperlink w:anchor="_Toc457758473" w:history="1">
            <w:r w:rsidR="00891B01" w:rsidRPr="008C7B92">
              <w:rPr>
                <w:rStyle w:val="Hyperlink"/>
                <w:noProof/>
              </w:rPr>
              <w:t>3.2</w:t>
            </w:r>
            <w:r w:rsidR="00891B01">
              <w:rPr>
                <w:rFonts w:asciiTheme="minorHAnsi" w:eastAsiaTheme="minorEastAsia" w:hAnsiTheme="minorHAnsi"/>
                <w:noProof/>
                <w:color w:val="auto"/>
                <w:lang w:eastAsia="de-DE"/>
              </w:rPr>
              <w:tab/>
            </w:r>
            <w:r w:rsidR="00891B01" w:rsidRPr="008C7B92">
              <w:rPr>
                <w:rStyle w:val="Hyperlink"/>
                <w:noProof/>
              </w:rPr>
              <w:t>V2 – Natriumhydroxid-Gehalt im Rohrreiniger</w:t>
            </w:r>
            <w:r w:rsidR="00891B01">
              <w:rPr>
                <w:noProof/>
                <w:webHidden/>
              </w:rPr>
              <w:tab/>
            </w:r>
            <w:r>
              <w:rPr>
                <w:noProof/>
                <w:webHidden/>
              </w:rPr>
              <w:fldChar w:fldCharType="begin"/>
            </w:r>
            <w:r w:rsidR="00891B01">
              <w:rPr>
                <w:noProof/>
                <w:webHidden/>
              </w:rPr>
              <w:instrText xml:space="preserve"> PAGEREF _Toc457758473 \h </w:instrText>
            </w:r>
            <w:r>
              <w:rPr>
                <w:noProof/>
                <w:webHidden/>
              </w:rPr>
            </w:r>
            <w:r>
              <w:rPr>
                <w:noProof/>
                <w:webHidden/>
              </w:rPr>
              <w:fldChar w:fldCharType="separate"/>
            </w:r>
            <w:r w:rsidR="00777888">
              <w:rPr>
                <w:noProof/>
                <w:webHidden/>
              </w:rPr>
              <w:t>6</w:t>
            </w:r>
            <w:r>
              <w:rPr>
                <w:noProof/>
                <w:webHidden/>
              </w:rPr>
              <w:fldChar w:fldCharType="end"/>
            </w:r>
          </w:hyperlink>
        </w:p>
        <w:p w:rsidR="00891B01" w:rsidRDefault="00D837BB">
          <w:pPr>
            <w:pStyle w:val="Verzeichnis1"/>
            <w:tabs>
              <w:tab w:val="left" w:pos="440"/>
              <w:tab w:val="right" w:leader="dot" w:pos="9062"/>
            </w:tabs>
            <w:rPr>
              <w:rFonts w:asciiTheme="minorHAnsi" w:eastAsiaTheme="minorEastAsia" w:hAnsiTheme="minorHAnsi"/>
              <w:noProof/>
              <w:color w:val="auto"/>
              <w:lang w:eastAsia="de-DE"/>
            </w:rPr>
          </w:pPr>
          <w:hyperlink w:anchor="_Toc457758474" w:history="1">
            <w:r w:rsidR="00891B01" w:rsidRPr="008C7B92">
              <w:rPr>
                <w:rStyle w:val="Hyperlink"/>
                <w:noProof/>
              </w:rPr>
              <w:t>4</w:t>
            </w:r>
            <w:r w:rsidR="00891B01">
              <w:rPr>
                <w:rFonts w:asciiTheme="minorHAnsi" w:eastAsiaTheme="minorEastAsia" w:hAnsiTheme="minorHAnsi"/>
                <w:noProof/>
                <w:color w:val="auto"/>
                <w:lang w:eastAsia="de-DE"/>
              </w:rPr>
              <w:tab/>
            </w:r>
            <w:r w:rsidR="00891B01" w:rsidRPr="008C7B92">
              <w:rPr>
                <w:rStyle w:val="Hyperlink"/>
                <w:noProof/>
              </w:rPr>
              <w:t>Schülerversuche</w:t>
            </w:r>
            <w:r w:rsidR="00891B01">
              <w:rPr>
                <w:noProof/>
                <w:webHidden/>
              </w:rPr>
              <w:tab/>
            </w:r>
            <w:r>
              <w:rPr>
                <w:noProof/>
                <w:webHidden/>
              </w:rPr>
              <w:fldChar w:fldCharType="begin"/>
            </w:r>
            <w:r w:rsidR="00891B01">
              <w:rPr>
                <w:noProof/>
                <w:webHidden/>
              </w:rPr>
              <w:instrText xml:space="preserve"> PAGEREF _Toc457758474 \h </w:instrText>
            </w:r>
            <w:r>
              <w:rPr>
                <w:noProof/>
                <w:webHidden/>
              </w:rPr>
            </w:r>
            <w:r>
              <w:rPr>
                <w:noProof/>
                <w:webHidden/>
              </w:rPr>
              <w:fldChar w:fldCharType="separate"/>
            </w:r>
            <w:r w:rsidR="00777888">
              <w:rPr>
                <w:noProof/>
                <w:webHidden/>
              </w:rPr>
              <w:t>9</w:t>
            </w:r>
            <w:r>
              <w:rPr>
                <w:noProof/>
                <w:webHidden/>
              </w:rPr>
              <w:fldChar w:fldCharType="end"/>
            </w:r>
          </w:hyperlink>
        </w:p>
        <w:p w:rsidR="00891B01" w:rsidRDefault="00D837BB">
          <w:pPr>
            <w:pStyle w:val="Verzeichnis2"/>
            <w:tabs>
              <w:tab w:val="left" w:pos="880"/>
              <w:tab w:val="right" w:leader="dot" w:pos="9062"/>
            </w:tabs>
            <w:rPr>
              <w:rFonts w:asciiTheme="minorHAnsi" w:eastAsiaTheme="minorEastAsia" w:hAnsiTheme="minorHAnsi"/>
              <w:noProof/>
              <w:color w:val="auto"/>
              <w:lang w:eastAsia="de-DE"/>
            </w:rPr>
          </w:pPr>
          <w:hyperlink w:anchor="_Toc457758475" w:history="1">
            <w:r w:rsidR="00891B01" w:rsidRPr="008C7B92">
              <w:rPr>
                <w:rStyle w:val="Hyperlink"/>
                <w:noProof/>
              </w:rPr>
              <w:t>4.1</w:t>
            </w:r>
            <w:r w:rsidR="00891B01">
              <w:rPr>
                <w:rFonts w:asciiTheme="minorHAnsi" w:eastAsiaTheme="minorEastAsia" w:hAnsiTheme="minorHAnsi"/>
                <w:noProof/>
                <w:color w:val="auto"/>
                <w:lang w:eastAsia="de-DE"/>
              </w:rPr>
              <w:tab/>
            </w:r>
            <w:r w:rsidR="00891B01" w:rsidRPr="008C7B92">
              <w:rPr>
                <w:rStyle w:val="Hyperlink"/>
                <w:noProof/>
              </w:rPr>
              <w:t>V1 – Titration von Cola</w:t>
            </w:r>
            <w:r w:rsidR="00891B01">
              <w:rPr>
                <w:noProof/>
                <w:webHidden/>
              </w:rPr>
              <w:tab/>
            </w:r>
            <w:r>
              <w:rPr>
                <w:noProof/>
                <w:webHidden/>
              </w:rPr>
              <w:fldChar w:fldCharType="begin"/>
            </w:r>
            <w:r w:rsidR="00891B01">
              <w:rPr>
                <w:noProof/>
                <w:webHidden/>
              </w:rPr>
              <w:instrText xml:space="preserve"> PAGEREF _Toc457758475 \h </w:instrText>
            </w:r>
            <w:r>
              <w:rPr>
                <w:noProof/>
                <w:webHidden/>
              </w:rPr>
            </w:r>
            <w:r>
              <w:rPr>
                <w:noProof/>
                <w:webHidden/>
              </w:rPr>
              <w:fldChar w:fldCharType="separate"/>
            </w:r>
            <w:r w:rsidR="00777888">
              <w:rPr>
                <w:noProof/>
                <w:webHidden/>
              </w:rPr>
              <w:t>9</w:t>
            </w:r>
            <w:r>
              <w:rPr>
                <w:noProof/>
                <w:webHidden/>
              </w:rPr>
              <w:fldChar w:fldCharType="end"/>
            </w:r>
          </w:hyperlink>
        </w:p>
        <w:p w:rsidR="00891B01" w:rsidRDefault="00D837BB">
          <w:pPr>
            <w:pStyle w:val="Verzeichnis2"/>
            <w:tabs>
              <w:tab w:val="left" w:pos="880"/>
              <w:tab w:val="right" w:leader="dot" w:pos="9062"/>
            </w:tabs>
            <w:rPr>
              <w:rFonts w:asciiTheme="minorHAnsi" w:eastAsiaTheme="minorEastAsia" w:hAnsiTheme="minorHAnsi"/>
              <w:noProof/>
              <w:color w:val="auto"/>
              <w:lang w:eastAsia="de-DE"/>
            </w:rPr>
          </w:pPr>
          <w:hyperlink w:anchor="_Toc457758476" w:history="1">
            <w:r w:rsidR="00891B01" w:rsidRPr="008C7B92">
              <w:rPr>
                <w:rStyle w:val="Hyperlink"/>
                <w:noProof/>
              </w:rPr>
              <w:t>4.2</w:t>
            </w:r>
            <w:r w:rsidR="00891B01">
              <w:rPr>
                <w:rFonts w:asciiTheme="minorHAnsi" w:eastAsiaTheme="minorEastAsia" w:hAnsiTheme="minorHAnsi"/>
                <w:noProof/>
                <w:color w:val="auto"/>
                <w:lang w:eastAsia="de-DE"/>
              </w:rPr>
              <w:tab/>
            </w:r>
            <w:r w:rsidR="00891B01" w:rsidRPr="008C7B92">
              <w:rPr>
                <w:rStyle w:val="Hyperlink"/>
                <w:noProof/>
              </w:rPr>
              <w:t>V2 – Bestimmung des Ca</w:t>
            </w:r>
            <w:r w:rsidR="00891B01" w:rsidRPr="008C7B92">
              <w:rPr>
                <w:rStyle w:val="Hyperlink"/>
                <w:noProof/>
                <w:vertAlign w:val="superscript"/>
              </w:rPr>
              <w:t>2+</w:t>
            </w:r>
            <w:r w:rsidR="00891B01" w:rsidRPr="008C7B92">
              <w:rPr>
                <w:rStyle w:val="Hyperlink"/>
                <w:noProof/>
              </w:rPr>
              <w:noBreakHyphen/>
              <w:t xml:space="preserve"> Gehalts in einer Wasserprobe mittels komplexometrischer Titration</w:t>
            </w:r>
            <w:r w:rsidR="00891B01">
              <w:rPr>
                <w:noProof/>
                <w:webHidden/>
              </w:rPr>
              <w:tab/>
            </w:r>
            <w:r>
              <w:rPr>
                <w:noProof/>
                <w:webHidden/>
              </w:rPr>
              <w:fldChar w:fldCharType="begin"/>
            </w:r>
            <w:r w:rsidR="00891B01">
              <w:rPr>
                <w:noProof/>
                <w:webHidden/>
              </w:rPr>
              <w:instrText xml:space="preserve"> PAGEREF _Toc457758476 \h </w:instrText>
            </w:r>
            <w:r>
              <w:rPr>
                <w:noProof/>
                <w:webHidden/>
              </w:rPr>
            </w:r>
            <w:r>
              <w:rPr>
                <w:noProof/>
                <w:webHidden/>
              </w:rPr>
              <w:fldChar w:fldCharType="separate"/>
            </w:r>
            <w:r w:rsidR="00777888">
              <w:rPr>
                <w:noProof/>
                <w:webHidden/>
              </w:rPr>
              <w:t>16</w:t>
            </w:r>
            <w:r>
              <w:rPr>
                <w:noProof/>
                <w:webHidden/>
              </w:rPr>
              <w:fldChar w:fldCharType="end"/>
            </w:r>
          </w:hyperlink>
        </w:p>
        <w:p w:rsidR="00891B01" w:rsidRDefault="00D837BB">
          <w:pPr>
            <w:pStyle w:val="Verzeichnis1"/>
            <w:tabs>
              <w:tab w:val="left" w:pos="440"/>
              <w:tab w:val="right" w:leader="dot" w:pos="9062"/>
            </w:tabs>
            <w:rPr>
              <w:rFonts w:asciiTheme="minorHAnsi" w:eastAsiaTheme="minorEastAsia" w:hAnsiTheme="minorHAnsi"/>
              <w:noProof/>
              <w:color w:val="auto"/>
              <w:lang w:eastAsia="de-DE"/>
            </w:rPr>
          </w:pPr>
          <w:hyperlink w:anchor="_Toc457758477" w:history="1">
            <w:r w:rsidR="00891B01" w:rsidRPr="008C7B92">
              <w:rPr>
                <w:rStyle w:val="Hyperlink"/>
                <w:noProof/>
              </w:rPr>
              <w:t>5</w:t>
            </w:r>
            <w:r w:rsidR="00891B01">
              <w:rPr>
                <w:rFonts w:asciiTheme="minorHAnsi" w:eastAsiaTheme="minorEastAsia" w:hAnsiTheme="minorHAnsi"/>
                <w:noProof/>
                <w:color w:val="auto"/>
                <w:lang w:eastAsia="de-DE"/>
              </w:rPr>
              <w:tab/>
            </w:r>
            <w:r w:rsidR="00891B01" w:rsidRPr="008C7B92">
              <w:rPr>
                <w:rStyle w:val="Hyperlink"/>
                <w:noProof/>
              </w:rPr>
              <w:t>Didaktischer Kommentar zum Schülerarbeitsblatt (Max. 2 Seiten)</w:t>
            </w:r>
            <w:r w:rsidR="00891B01">
              <w:rPr>
                <w:noProof/>
                <w:webHidden/>
              </w:rPr>
              <w:tab/>
            </w:r>
            <w:r>
              <w:rPr>
                <w:noProof/>
                <w:webHidden/>
              </w:rPr>
              <w:fldChar w:fldCharType="begin"/>
            </w:r>
            <w:r w:rsidR="00891B01">
              <w:rPr>
                <w:noProof/>
                <w:webHidden/>
              </w:rPr>
              <w:instrText xml:space="preserve"> PAGEREF _Toc457758477 \h </w:instrText>
            </w:r>
            <w:r>
              <w:rPr>
                <w:noProof/>
                <w:webHidden/>
              </w:rPr>
            </w:r>
            <w:r>
              <w:rPr>
                <w:noProof/>
                <w:webHidden/>
              </w:rPr>
              <w:fldChar w:fldCharType="separate"/>
            </w:r>
            <w:r w:rsidR="00777888">
              <w:rPr>
                <w:noProof/>
                <w:webHidden/>
              </w:rPr>
              <w:t>6</w:t>
            </w:r>
            <w:r>
              <w:rPr>
                <w:noProof/>
                <w:webHidden/>
              </w:rPr>
              <w:fldChar w:fldCharType="end"/>
            </w:r>
          </w:hyperlink>
        </w:p>
        <w:p w:rsidR="00891B01" w:rsidRDefault="00D837BB">
          <w:pPr>
            <w:pStyle w:val="Verzeichnis2"/>
            <w:tabs>
              <w:tab w:val="left" w:pos="880"/>
              <w:tab w:val="right" w:leader="dot" w:pos="9062"/>
            </w:tabs>
            <w:rPr>
              <w:rFonts w:asciiTheme="minorHAnsi" w:eastAsiaTheme="minorEastAsia" w:hAnsiTheme="minorHAnsi"/>
              <w:noProof/>
              <w:color w:val="auto"/>
              <w:lang w:eastAsia="de-DE"/>
            </w:rPr>
          </w:pPr>
          <w:hyperlink w:anchor="_Toc457758478" w:history="1">
            <w:r w:rsidR="00891B01" w:rsidRPr="008C7B92">
              <w:rPr>
                <w:rStyle w:val="Hyperlink"/>
                <w:noProof/>
              </w:rPr>
              <w:t>5.1</w:t>
            </w:r>
            <w:r w:rsidR="00891B01">
              <w:rPr>
                <w:rFonts w:asciiTheme="minorHAnsi" w:eastAsiaTheme="minorEastAsia" w:hAnsiTheme="minorHAnsi"/>
                <w:noProof/>
                <w:color w:val="auto"/>
                <w:lang w:eastAsia="de-DE"/>
              </w:rPr>
              <w:tab/>
            </w:r>
            <w:r w:rsidR="00891B01" w:rsidRPr="008C7B92">
              <w:rPr>
                <w:rStyle w:val="Hyperlink"/>
                <w:noProof/>
              </w:rPr>
              <w:t>Erwartungshorizont (Kerncurriculum)</w:t>
            </w:r>
            <w:r w:rsidR="00891B01">
              <w:rPr>
                <w:noProof/>
                <w:webHidden/>
              </w:rPr>
              <w:tab/>
            </w:r>
            <w:r>
              <w:rPr>
                <w:noProof/>
                <w:webHidden/>
              </w:rPr>
              <w:fldChar w:fldCharType="begin"/>
            </w:r>
            <w:r w:rsidR="00891B01">
              <w:rPr>
                <w:noProof/>
                <w:webHidden/>
              </w:rPr>
              <w:instrText xml:space="preserve"> PAGEREF _Toc457758478 \h </w:instrText>
            </w:r>
            <w:r>
              <w:rPr>
                <w:noProof/>
                <w:webHidden/>
              </w:rPr>
            </w:r>
            <w:r>
              <w:rPr>
                <w:noProof/>
                <w:webHidden/>
              </w:rPr>
              <w:fldChar w:fldCharType="separate"/>
            </w:r>
            <w:r w:rsidR="00777888">
              <w:rPr>
                <w:noProof/>
                <w:webHidden/>
              </w:rPr>
              <w:t>6</w:t>
            </w:r>
            <w:r>
              <w:rPr>
                <w:noProof/>
                <w:webHidden/>
              </w:rPr>
              <w:fldChar w:fldCharType="end"/>
            </w:r>
          </w:hyperlink>
        </w:p>
        <w:p w:rsidR="00891B01" w:rsidRDefault="00D837BB">
          <w:pPr>
            <w:pStyle w:val="Verzeichnis2"/>
            <w:tabs>
              <w:tab w:val="left" w:pos="880"/>
              <w:tab w:val="right" w:leader="dot" w:pos="9062"/>
            </w:tabs>
            <w:rPr>
              <w:rFonts w:asciiTheme="minorHAnsi" w:eastAsiaTheme="minorEastAsia" w:hAnsiTheme="minorHAnsi"/>
              <w:noProof/>
              <w:color w:val="auto"/>
              <w:lang w:eastAsia="de-DE"/>
            </w:rPr>
          </w:pPr>
          <w:hyperlink w:anchor="_Toc457758479" w:history="1">
            <w:r w:rsidR="00891B01" w:rsidRPr="008C7B92">
              <w:rPr>
                <w:rStyle w:val="Hyperlink"/>
                <w:noProof/>
              </w:rPr>
              <w:t>5.2</w:t>
            </w:r>
            <w:r w:rsidR="00891B01">
              <w:rPr>
                <w:rFonts w:asciiTheme="minorHAnsi" w:eastAsiaTheme="minorEastAsia" w:hAnsiTheme="minorHAnsi"/>
                <w:noProof/>
                <w:color w:val="auto"/>
                <w:lang w:eastAsia="de-DE"/>
              </w:rPr>
              <w:tab/>
            </w:r>
            <w:r w:rsidR="00891B01" w:rsidRPr="008C7B92">
              <w:rPr>
                <w:rStyle w:val="Hyperlink"/>
                <w:noProof/>
              </w:rPr>
              <w:t>Erwartungshorizont (Inhaltlich)</w:t>
            </w:r>
            <w:r w:rsidR="00891B01">
              <w:rPr>
                <w:noProof/>
                <w:webHidden/>
              </w:rPr>
              <w:tab/>
            </w:r>
            <w:r>
              <w:rPr>
                <w:noProof/>
                <w:webHidden/>
              </w:rPr>
              <w:fldChar w:fldCharType="begin"/>
            </w:r>
            <w:r w:rsidR="00891B01">
              <w:rPr>
                <w:noProof/>
                <w:webHidden/>
              </w:rPr>
              <w:instrText xml:space="preserve"> PAGEREF _Toc457758479 \h </w:instrText>
            </w:r>
            <w:r>
              <w:rPr>
                <w:noProof/>
                <w:webHidden/>
              </w:rPr>
            </w:r>
            <w:r>
              <w:rPr>
                <w:noProof/>
                <w:webHidden/>
              </w:rPr>
              <w:fldChar w:fldCharType="separate"/>
            </w:r>
            <w:r w:rsidR="00777888">
              <w:rPr>
                <w:noProof/>
                <w:webHidden/>
              </w:rPr>
              <w:t>7</w:t>
            </w:r>
            <w:r>
              <w:rPr>
                <w:noProof/>
                <w:webHidden/>
              </w:rPr>
              <w:fldChar w:fldCharType="end"/>
            </w:r>
          </w:hyperlink>
        </w:p>
        <w:p w:rsidR="00891B01" w:rsidRDefault="00D837BB">
          <w:pPr>
            <w:pStyle w:val="Verzeichnis1"/>
            <w:tabs>
              <w:tab w:val="left" w:pos="440"/>
              <w:tab w:val="right" w:leader="dot" w:pos="9062"/>
            </w:tabs>
            <w:rPr>
              <w:rFonts w:asciiTheme="minorHAnsi" w:eastAsiaTheme="minorEastAsia" w:hAnsiTheme="minorHAnsi"/>
              <w:noProof/>
              <w:color w:val="auto"/>
              <w:lang w:eastAsia="de-DE"/>
            </w:rPr>
          </w:pPr>
          <w:hyperlink w:anchor="_Toc457758480" w:history="1">
            <w:r w:rsidR="00891B01" w:rsidRPr="008C7B92">
              <w:rPr>
                <w:rStyle w:val="Hyperlink"/>
                <w:noProof/>
              </w:rPr>
              <w:t>6</w:t>
            </w:r>
            <w:r w:rsidR="00891B01">
              <w:rPr>
                <w:rFonts w:asciiTheme="minorHAnsi" w:eastAsiaTheme="minorEastAsia" w:hAnsiTheme="minorHAnsi"/>
                <w:noProof/>
                <w:color w:val="auto"/>
                <w:lang w:eastAsia="de-DE"/>
              </w:rPr>
              <w:tab/>
            </w:r>
            <w:r w:rsidR="00891B01" w:rsidRPr="008C7B92">
              <w:rPr>
                <w:rStyle w:val="Hyperlink"/>
                <w:noProof/>
              </w:rPr>
              <w:t>Literaturangaben</w:t>
            </w:r>
            <w:r w:rsidR="00891B01">
              <w:rPr>
                <w:noProof/>
                <w:webHidden/>
              </w:rPr>
              <w:tab/>
            </w:r>
            <w:r>
              <w:rPr>
                <w:noProof/>
                <w:webHidden/>
              </w:rPr>
              <w:fldChar w:fldCharType="begin"/>
            </w:r>
            <w:r w:rsidR="00891B01">
              <w:rPr>
                <w:noProof/>
                <w:webHidden/>
              </w:rPr>
              <w:instrText xml:space="preserve"> PAGEREF _Toc457758480 \h </w:instrText>
            </w:r>
            <w:r>
              <w:rPr>
                <w:noProof/>
                <w:webHidden/>
              </w:rPr>
            </w:r>
            <w:r>
              <w:rPr>
                <w:noProof/>
                <w:webHidden/>
              </w:rPr>
              <w:fldChar w:fldCharType="separate"/>
            </w:r>
            <w:r w:rsidR="00777888">
              <w:rPr>
                <w:noProof/>
                <w:webHidden/>
              </w:rPr>
              <w:t>9</w:t>
            </w:r>
            <w:r>
              <w:rPr>
                <w:noProof/>
                <w:webHidden/>
              </w:rPr>
              <w:fldChar w:fldCharType="end"/>
            </w:r>
          </w:hyperlink>
        </w:p>
        <w:p w:rsidR="00E26180" w:rsidRDefault="00D837BB">
          <w:r>
            <w:fldChar w:fldCharType="end"/>
          </w:r>
        </w:p>
      </w:sdtContent>
    </w:sdt>
    <w:p w:rsidR="00E26180" w:rsidRDefault="00E26180" w:rsidP="00E26180"/>
    <w:p w:rsidR="00E26180" w:rsidRDefault="00E26180" w:rsidP="00E26180"/>
    <w:p w:rsidR="00E26180" w:rsidRDefault="00E26180" w:rsidP="00E26180">
      <w:r>
        <w:br w:type="page"/>
      </w:r>
    </w:p>
    <w:p w:rsidR="0086227B" w:rsidRPr="00E54798" w:rsidRDefault="000D10FB" w:rsidP="00954DC8">
      <w:pPr>
        <w:pStyle w:val="berschrift1"/>
        <w:rPr>
          <w:color w:val="auto"/>
        </w:rPr>
      </w:pPr>
      <w:bookmarkStart w:id="0" w:name="_Toc457758469"/>
      <w:r w:rsidRPr="00E54798">
        <w:rPr>
          <w:color w:val="auto"/>
        </w:rPr>
        <w:lastRenderedPageBreak/>
        <w:t>Beschreibung des Themas und zugehörige Lernziele</w:t>
      </w:r>
      <w:bookmarkEnd w:id="0"/>
      <w:r w:rsidRPr="00E54798">
        <w:rPr>
          <w:color w:val="auto"/>
        </w:rPr>
        <w:t xml:space="preserve"> </w:t>
      </w:r>
    </w:p>
    <w:p w:rsidR="00904FCC" w:rsidRPr="00012C38" w:rsidRDefault="0088205D" w:rsidP="002A716F">
      <w:pPr>
        <w:rPr>
          <w:color w:val="FF0000"/>
        </w:rPr>
      </w:pPr>
      <w:r>
        <w:rPr>
          <w:color w:val="auto"/>
        </w:rPr>
        <w:t>Die Bandbreite an Titrationen ist vielfältig und kann daher unter verschiedenen Gesichtspun</w:t>
      </w:r>
      <w:r>
        <w:rPr>
          <w:color w:val="auto"/>
        </w:rPr>
        <w:t>k</w:t>
      </w:r>
      <w:r>
        <w:rPr>
          <w:color w:val="auto"/>
        </w:rPr>
        <w:t xml:space="preserve">ten im Chemieunterricht der Klassenstufe 9/10 angewandt werden. Mit der Säure/Base-Titration von mehrprotonigen Säuren, lernen die Schülerinnen und Schüler ihre Kenntnisse zu </w:t>
      </w:r>
      <w:proofErr w:type="spellStart"/>
      <w:r>
        <w:rPr>
          <w:color w:val="auto"/>
        </w:rPr>
        <w:t>einprotonigen</w:t>
      </w:r>
      <w:proofErr w:type="spellEnd"/>
      <w:r>
        <w:rPr>
          <w:color w:val="auto"/>
        </w:rPr>
        <w:t xml:space="preserve"> Säuren auf diese zu übertragen. Zudem sollen auch Titrationskurven von den Schülerinnen und Schülern laut dem Curriculum aufgenommen werden und das bietet sich bei den meisten hier dargestellten Versuchen an. Die Versuche in denen der Umschlagspunkt eines Indikators wichtig ist, hilft den Schülerinnen und Schüler ihre Exp</w:t>
      </w:r>
      <w:r w:rsidR="00012C38">
        <w:rPr>
          <w:color w:val="auto"/>
        </w:rPr>
        <w:t>erimentierfer</w:t>
      </w:r>
      <w:r>
        <w:rPr>
          <w:color w:val="auto"/>
        </w:rPr>
        <w:t>t</w:t>
      </w:r>
      <w:r w:rsidR="00012C38">
        <w:rPr>
          <w:color w:val="auto"/>
        </w:rPr>
        <w:t>i</w:t>
      </w:r>
      <w:r>
        <w:rPr>
          <w:color w:val="auto"/>
        </w:rPr>
        <w:t>gkeit zu ve</w:t>
      </w:r>
      <w:r>
        <w:rPr>
          <w:color w:val="auto"/>
        </w:rPr>
        <w:t>r</w:t>
      </w:r>
      <w:r>
        <w:rPr>
          <w:color w:val="auto"/>
        </w:rPr>
        <w:t xml:space="preserve">bessern oder zu erweitern. Für die Auswertung der </w:t>
      </w:r>
      <w:proofErr w:type="spellStart"/>
      <w:r>
        <w:rPr>
          <w:color w:val="auto"/>
        </w:rPr>
        <w:t>Redox</w:t>
      </w:r>
      <w:proofErr w:type="spellEnd"/>
      <w:r>
        <w:rPr>
          <w:color w:val="auto"/>
        </w:rPr>
        <w:t>-Titration ist es wichtig, dass die Sch</w:t>
      </w:r>
      <w:r>
        <w:rPr>
          <w:color w:val="auto"/>
        </w:rPr>
        <w:t>ü</w:t>
      </w:r>
      <w:r>
        <w:rPr>
          <w:color w:val="auto"/>
        </w:rPr>
        <w:t>lerinnen und Schüler im Vorfeld Oxidationszahlen,</w:t>
      </w:r>
      <w:r w:rsidR="00012C38">
        <w:rPr>
          <w:color w:val="auto"/>
        </w:rPr>
        <w:t xml:space="preserve"> Aufstellen der Teilgleichungen</w:t>
      </w:r>
      <w:r>
        <w:rPr>
          <w:color w:val="auto"/>
        </w:rPr>
        <w:t xml:space="preserve"> sowie die Elektronenübertragung besprochen haben.</w:t>
      </w:r>
      <w:r w:rsidR="00904FCC">
        <w:rPr>
          <w:color w:val="auto"/>
        </w:rPr>
        <w:t xml:space="preserve"> Bei der Auswertung einer Titrationskurve ist es wichtig, dass alle charakteristischen Punkte einer solchen Kurve erklärt und erläutert werden. Zu diesen Punkten </w:t>
      </w:r>
      <w:proofErr w:type="gramStart"/>
      <w:r w:rsidR="00904FCC">
        <w:rPr>
          <w:color w:val="auto"/>
        </w:rPr>
        <w:t>zählt</w:t>
      </w:r>
      <w:proofErr w:type="gramEnd"/>
      <w:r w:rsidR="00904FCC">
        <w:rPr>
          <w:color w:val="auto"/>
        </w:rPr>
        <w:t xml:space="preserve"> der Neutralpunkt, der Äquivalen</w:t>
      </w:r>
      <w:r w:rsidR="00973C54">
        <w:rPr>
          <w:color w:val="auto"/>
        </w:rPr>
        <w:t>z</w:t>
      </w:r>
      <w:r w:rsidR="00904FCC">
        <w:rPr>
          <w:color w:val="auto"/>
        </w:rPr>
        <w:t>pun</w:t>
      </w:r>
      <w:r w:rsidR="000425B2">
        <w:rPr>
          <w:color w:val="auto"/>
        </w:rPr>
        <w:t xml:space="preserve">kt und der Halbäquivalenzpunkt. </w:t>
      </w:r>
      <w:r w:rsidR="00904FCC">
        <w:rPr>
          <w:color w:val="auto"/>
        </w:rPr>
        <w:t>Der Neutralpunkt beschreibt den Zustand einer Lösung, die nach der Definition des pH-Wertes als neutrale Lösung bezeichnet wird. Der Neutralpunkt liegt bei einem pH-Wert von 7 vor. Der Ä</w:t>
      </w:r>
      <w:r w:rsidR="00012C38">
        <w:rPr>
          <w:color w:val="auto"/>
        </w:rPr>
        <w:t>q</w:t>
      </w:r>
      <w:r w:rsidR="00904FCC">
        <w:rPr>
          <w:color w:val="auto"/>
        </w:rPr>
        <w:t>uivalenzpunkt bei einer Säure-Base-Titration ist der Punkt, an dem eine bestimmte Stoffme</w:t>
      </w:r>
      <w:r w:rsidR="00904FCC">
        <w:rPr>
          <w:color w:val="auto"/>
        </w:rPr>
        <w:t>n</w:t>
      </w:r>
      <w:r w:rsidR="00904FCC">
        <w:rPr>
          <w:color w:val="auto"/>
        </w:rPr>
        <w:t>ge Säure mit der entsprechenden Stoffmenge Base neutralisiert wurde. Es gilt n(H</w:t>
      </w:r>
      <w:r w:rsidR="00904FCC">
        <w:rPr>
          <w:color w:val="auto"/>
          <w:vertAlign w:val="superscript"/>
        </w:rPr>
        <w:t>+</w:t>
      </w:r>
      <w:r w:rsidR="00904FCC">
        <w:rPr>
          <w:color w:val="auto"/>
        </w:rPr>
        <w:t>) = n(OH</w:t>
      </w:r>
      <w:r w:rsidR="00904FCC">
        <w:rPr>
          <w:color w:val="auto"/>
          <w:vertAlign w:val="superscript"/>
        </w:rPr>
        <w:t>-</w:t>
      </w:r>
      <w:r w:rsidR="00904FCC">
        <w:rPr>
          <w:color w:val="auto"/>
        </w:rPr>
        <w:t>). Wird eine starke Säure mit einer starken Base titriert, so fällt der Äquivalenzpunkt auf den Neu</w:t>
      </w:r>
      <w:r w:rsidR="00904FCC">
        <w:rPr>
          <w:color w:val="auto"/>
        </w:rPr>
        <w:t>t</w:t>
      </w:r>
      <w:r w:rsidR="00904FCC">
        <w:rPr>
          <w:color w:val="auto"/>
        </w:rPr>
        <w:t>ralpunkt und sie sind gleich</w:t>
      </w:r>
      <w:r w:rsidR="00012C38">
        <w:rPr>
          <w:color w:val="auto"/>
        </w:rPr>
        <w:t>, da diese vollständig dissoziieren</w:t>
      </w:r>
      <w:r w:rsidR="00904FCC">
        <w:rPr>
          <w:color w:val="auto"/>
        </w:rPr>
        <w:t>. Werden unterschiedlich starke Säuren und Basen titriert, entspricht der Äquivalenzpunkt nicht dem Neutralpunkt</w:t>
      </w:r>
      <w:r w:rsidR="00012C38">
        <w:rPr>
          <w:color w:val="auto"/>
        </w:rPr>
        <w:t>, da diese nicht vollständig dissozi</w:t>
      </w:r>
      <w:r w:rsidR="00973C54">
        <w:rPr>
          <w:color w:val="auto"/>
        </w:rPr>
        <w:t>i</w:t>
      </w:r>
      <w:r w:rsidR="00012C38">
        <w:rPr>
          <w:color w:val="auto"/>
        </w:rPr>
        <w:t>eren</w:t>
      </w:r>
      <w:r w:rsidR="00904FCC">
        <w:rPr>
          <w:color w:val="auto"/>
        </w:rPr>
        <w:t xml:space="preserve">. Der Halbäquivalenzpunkt bei einer Säure-Base-Titration ist der Punkt, an dem die Hälfte einer bestimmten Stoffmenge Säure </w:t>
      </w:r>
      <w:r w:rsidR="00583696">
        <w:rPr>
          <w:color w:val="auto"/>
        </w:rPr>
        <w:t>mit der entsprechenden Stoffme</w:t>
      </w:r>
      <w:r w:rsidR="00583696">
        <w:rPr>
          <w:color w:val="auto"/>
        </w:rPr>
        <w:t>n</w:t>
      </w:r>
      <w:r w:rsidR="00583696">
        <w:rPr>
          <w:color w:val="auto"/>
        </w:rPr>
        <w:t>ge Base neutralisiert hat, die zur vollständigen Neutralisation geführt hätte.</w:t>
      </w:r>
      <w:r w:rsidR="004F4DEE">
        <w:rPr>
          <w:color w:val="auto"/>
        </w:rPr>
        <w:t xml:space="preserve"> Bei dem Halbäquivalenzpunkt kann auch die </w:t>
      </w:r>
      <w:proofErr w:type="spellStart"/>
      <w:r w:rsidR="004F4DEE">
        <w:rPr>
          <w:color w:val="auto"/>
        </w:rPr>
        <w:t>Gesetzmäsigkeit</w:t>
      </w:r>
      <w:proofErr w:type="spellEnd"/>
      <w:r w:rsidR="004F4DEE">
        <w:rPr>
          <w:color w:val="auto"/>
        </w:rPr>
        <w:t xml:space="preserve"> pH=</w:t>
      </w:r>
      <w:proofErr w:type="spellStart"/>
      <w:r w:rsidR="004F4DEE">
        <w:rPr>
          <w:color w:val="auto"/>
        </w:rPr>
        <w:t>pK</w:t>
      </w:r>
      <w:r w:rsidR="004F4DEE">
        <w:rPr>
          <w:color w:val="auto"/>
          <w:vertAlign w:val="subscript"/>
        </w:rPr>
        <w:t>s</w:t>
      </w:r>
      <w:proofErr w:type="spellEnd"/>
      <w:r w:rsidR="004F4DEE">
        <w:rPr>
          <w:color w:val="auto"/>
        </w:rPr>
        <w:t xml:space="preserve"> unter Zuhilfenahme der Hende</w:t>
      </w:r>
      <w:r w:rsidR="004F4DEE">
        <w:rPr>
          <w:color w:val="auto"/>
        </w:rPr>
        <w:t>r</w:t>
      </w:r>
      <w:r w:rsidR="004F4DEE">
        <w:rPr>
          <w:color w:val="auto"/>
        </w:rPr>
        <w:t>son-</w:t>
      </w:r>
      <w:proofErr w:type="spellStart"/>
      <w:r w:rsidR="004F4DEE">
        <w:rPr>
          <w:color w:val="auto"/>
        </w:rPr>
        <w:t>Hasselbalch</w:t>
      </w:r>
      <w:proofErr w:type="spellEnd"/>
      <w:r w:rsidR="004F4DEE">
        <w:rPr>
          <w:color w:val="auto"/>
        </w:rPr>
        <w:t>-Gleichung demonstriert werden</w:t>
      </w:r>
      <w:r w:rsidR="00012C38">
        <w:rPr>
          <w:color w:val="auto"/>
        </w:rPr>
        <w:t>. Dies gilt nur bei mittelschwachen Sä</w:t>
      </w:r>
      <w:r w:rsidR="00012C38">
        <w:rPr>
          <w:color w:val="auto"/>
        </w:rPr>
        <w:t>u</w:t>
      </w:r>
      <w:r w:rsidR="00012C38">
        <w:rPr>
          <w:color w:val="auto"/>
        </w:rPr>
        <w:t>ren/Basen</w:t>
      </w:r>
      <w:r w:rsidR="00A31A49">
        <w:rPr>
          <w:color w:val="auto"/>
        </w:rPr>
        <w:t>, da diese ein</w:t>
      </w:r>
      <w:r w:rsidR="00012C38">
        <w:rPr>
          <w:color w:val="auto"/>
        </w:rPr>
        <w:t xml:space="preserve"> Puffersystem</w:t>
      </w:r>
      <w:r w:rsidR="00A31A49">
        <w:rPr>
          <w:color w:val="auto"/>
        </w:rPr>
        <w:t xml:space="preserve"> bilden</w:t>
      </w:r>
      <w:r w:rsidR="00583696">
        <w:rPr>
          <w:color w:val="auto"/>
        </w:rPr>
        <w:t xml:space="preserve"> </w:t>
      </w:r>
      <w:r w:rsidR="001C2353">
        <w:rPr>
          <w:color w:val="auto"/>
        </w:rPr>
        <w:t xml:space="preserve">Bei der </w:t>
      </w:r>
      <w:proofErr w:type="spellStart"/>
      <w:r w:rsidR="001C2353">
        <w:rPr>
          <w:color w:val="auto"/>
        </w:rPr>
        <w:t>komplexometrischen</w:t>
      </w:r>
      <w:proofErr w:type="spellEnd"/>
      <w:r w:rsidR="001C2353">
        <w:rPr>
          <w:color w:val="auto"/>
        </w:rPr>
        <w:t xml:space="preserve"> Titration wird der Gehalt des Calciums in einer Wasserprobe dargestellt, dies soll die Titration als eine Analysem</w:t>
      </w:r>
      <w:r w:rsidR="001C2353">
        <w:rPr>
          <w:color w:val="auto"/>
        </w:rPr>
        <w:t>e</w:t>
      </w:r>
      <w:r w:rsidR="001C2353">
        <w:rPr>
          <w:color w:val="auto"/>
        </w:rPr>
        <w:t>thode darstellen.</w:t>
      </w:r>
      <w:r w:rsidR="00012C38">
        <w:rPr>
          <w:color w:val="auto"/>
        </w:rPr>
        <w:t xml:space="preserve"> </w:t>
      </w:r>
      <w:r w:rsidR="00212550">
        <w:rPr>
          <w:color w:val="auto"/>
        </w:rPr>
        <w:t xml:space="preserve">Die Schülerinnen und Schüler sollen laut dem Kerncurriculum Säure-Base-Reaktionen als Protonenübergangsreaktionen nach dem </w:t>
      </w:r>
      <w:proofErr w:type="spellStart"/>
      <w:r w:rsidR="00212550">
        <w:rPr>
          <w:color w:val="auto"/>
        </w:rPr>
        <w:t>Donator</w:t>
      </w:r>
      <w:proofErr w:type="spellEnd"/>
      <w:r w:rsidR="00212550">
        <w:rPr>
          <w:color w:val="auto"/>
        </w:rPr>
        <w:t xml:space="preserve">-Akzeptor-Prinzip deuten. Des Weiteren sollen sie in der Lage sein Titrationskurven </w:t>
      </w:r>
      <w:proofErr w:type="spellStart"/>
      <w:r w:rsidR="00212550">
        <w:rPr>
          <w:color w:val="auto"/>
        </w:rPr>
        <w:t>einprotoniger</w:t>
      </w:r>
      <w:proofErr w:type="spellEnd"/>
      <w:r w:rsidR="00212550">
        <w:rPr>
          <w:color w:val="auto"/>
        </w:rPr>
        <w:t xml:space="preserve"> Säuren aufzunehmen und in diesem Zusammenhang </w:t>
      </w:r>
      <w:r w:rsidR="00A31A49">
        <w:rPr>
          <w:color w:val="auto"/>
        </w:rPr>
        <w:t>durch Titration</w:t>
      </w:r>
      <w:r w:rsidR="005E0499">
        <w:rPr>
          <w:color w:val="auto"/>
        </w:rPr>
        <w:t xml:space="preserve"> </w:t>
      </w:r>
      <w:r w:rsidR="00212550">
        <w:rPr>
          <w:color w:val="auto"/>
        </w:rPr>
        <w:t>die Konzentration verschiedener Säure-Base-Lösungen ermitte</w:t>
      </w:r>
      <w:r w:rsidR="00A31A49">
        <w:rPr>
          <w:color w:val="auto"/>
        </w:rPr>
        <w:t>l</w:t>
      </w:r>
      <w:r w:rsidR="00212550">
        <w:rPr>
          <w:color w:val="auto"/>
        </w:rPr>
        <w:t>n. Den Kurvenverlauf der Titrationskurven sollen sie auch qualitativ erklären können. Dazu gehört auch, dass sie sich der Fachsprache bei der Präsentation und der Diskussion von Titrationskurven bedienen. Des Weiteren sollen die Schülerinnen und Schüler nicht nur die Sä</w:t>
      </w:r>
      <w:r w:rsidR="00212550">
        <w:rPr>
          <w:color w:val="auto"/>
        </w:rPr>
        <w:t>u</w:t>
      </w:r>
      <w:r w:rsidR="00212550">
        <w:rPr>
          <w:color w:val="auto"/>
        </w:rPr>
        <w:t>re-Base-Titration kennen, sondern die Methode der Titration allgemein als maßanalytisches Verfahren erkennen und beschreiben können.</w:t>
      </w:r>
    </w:p>
    <w:p w:rsidR="00E51037" w:rsidRDefault="00E51037" w:rsidP="00E51037">
      <w:pPr>
        <w:pStyle w:val="berschrift1"/>
      </w:pPr>
      <w:bookmarkStart w:id="1" w:name="_Toc457758470"/>
      <w:r>
        <w:lastRenderedPageBreak/>
        <w:t xml:space="preserve">Relevanz des Themas für </w:t>
      </w:r>
      <w:proofErr w:type="spellStart"/>
      <w:r>
        <w:t>SuS</w:t>
      </w:r>
      <w:proofErr w:type="spellEnd"/>
      <w:r>
        <w:t xml:space="preserve"> der </w:t>
      </w:r>
      <w:r w:rsidR="0067177A">
        <w:t>Klassenstufe 9/10</w:t>
      </w:r>
      <w:r w:rsidR="002F25D2">
        <w:t xml:space="preserve"> und didakt</w:t>
      </w:r>
      <w:r w:rsidR="002F25D2">
        <w:t>i</w:t>
      </w:r>
      <w:r w:rsidR="002F25D2">
        <w:t>sche Reduktion</w:t>
      </w:r>
      <w:bookmarkEnd w:id="1"/>
      <w:r w:rsidR="007F2348">
        <w:t xml:space="preserve"> </w:t>
      </w:r>
    </w:p>
    <w:p w:rsidR="004F4DEE" w:rsidRDefault="004F4DEE" w:rsidP="00E51037">
      <w:pPr>
        <w:rPr>
          <w:color w:val="auto"/>
        </w:rPr>
      </w:pPr>
      <w:r>
        <w:rPr>
          <w:color w:val="auto"/>
        </w:rPr>
        <w:t>Die Alltagsbezüge sind sehr groß, da hier nur Alltagschemikalien, wie Cola, Wasser, Weißwe</w:t>
      </w:r>
      <w:r w:rsidR="00012C38">
        <w:rPr>
          <w:color w:val="auto"/>
        </w:rPr>
        <w:t>in und Rohreiniger, verwendet we</w:t>
      </w:r>
      <w:r>
        <w:rPr>
          <w:color w:val="auto"/>
        </w:rPr>
        <w:t xml:space="preserve">rden. Die Schülerinnen und Schüler sollten </w:t>
      </w:r>
      <w:r w:rsidR="00012C38">
        <w:rPr>
          <w:color w:val="auto"/>
        </w:rPr>
        <w:t>Vorwissen</w:t>
      </w:r>
      <w:r w:rsidR="00973C54">
        <w:rPr>
          <w:color w:val="auto"/>
        </w:rPr>
        <w:t xml:space="preserve"> </w:t>
      </w:r>
      <w:r w:rsidR="00012C38">
        <w:rPr>
          <w:color w:val="auto"/>
        </w:rPr>
        <w:t xml:space="preserve">in den Bereichen </w:t>
      </w:r>
      <w:r>
        <w:rPr>
          <w:color w:val="auto"/>
        </w:rPr>
        <w:t>Dissoziation, Ionen, Neutralisation, dem Säure-Base-Konzept, dem pH-Wert</w:t>
      </w:r>
      <w:r w:rsidR="00F963B4">
        <w:rPr>
          <w:color w:val="auto"/>
        </w:rPr>
        <w:t>, Indikat</w:t>
      </w:r>
      <w:r w:rsidR="00F963B4">
        <w:rPr>
          <w:color w:val="auto"/>
        </w:rPr>
        <w:t>o</w:t>
      </w:r>
      <w:r w:rsidR="00F963B4">
        <w:rPr>
          <w:color w:val="auto"/>
        </w:rPr>
        <w:t>ren und dem Aufstellen von Redoxreaktionen</w:t>
      </w:r>
      <w:r w:rsidR="00012C38">
        <w:rPr>
          <w:color w:val="auto"/>
        </w:rPr>
        <w:t xml:space="preserve"> aufweisen</w:t>
      </w:r>
      <w:r w:rsidR="00F963B4">
        <w:rPr>
          <w:color w:val="auto"/>
        </w:rPr>
        <w:t>.</w:t>
      </w:r>
      <w:r w:rsidR="000425B2">
        <w:rPr>
          <w:color w:val="auto"/>
        </w:rPr>
        <w:t xml:space="preserve"> Didaktisch reduziert wird an der Stelle der </w:t>
      </w:r>
      <w:proofErr w:type="spellStart"/>
      <w:r w:rsidR="000425B2">
        <w:rPr>
          <w:color w:val="auto"/>
        </w:rPr>
        <w:t>komplexometrischen</w:t>
      </w:r>
      <w:proofErr w:type="spellEnd"/>
      <w:r w:rsidR="000425B2">
        <w:rPr>
          <w:color w:val="auto"/>
        </w:rPr>
        <w:t xml:space="preserve"> Titration, da dieser Versuch nur als Analysemethode dienen soll.</w:t>
      </w:r>
      <w:r w:rsidR="0095746E">
        <w:rPr>
          <w:color w:val="auto"/>
        </w:rPr>
        <w:t xml:space="preserve"> R</w:t>
      </w:r>
      <w:r w:rsidR="0095746E">
        <w:rPr>
          <w:color w:val="auto"/>
        </w:rPr>
        <w:t>e</w:t>
      </w:r>
      <w:r w:rsidR="0095746E">
        <w:rPr>
          <w:color w:val="auto"/>
        </w:rPr>
        <w:t>duziert wird in dem Fall d</w:t>
      </w:r>
      <w:r w:rsidR="00A31A49">
        <w:rPr>
          <w:color w:val="auto"/>
        </w:rPr>
        <w:t>ie Verbindung</w:t>
      </w:r>
      <w:r w:rsidR="0095746E">
        <w:rPr>
          <w:color w:val="auto"/>
        </w:rPr>
        <w:t xml:space="preserve"> </w:t>
      </w:r>
      <w:proofErr w:type="spellStart"/>
      <w:r w:rsidR="0095746E">
        <w:rPr>
          <w:color w:val="auto"/>
        </w:rPr>
        <w:t>Ethylendiamintetraessigsäure</w:t>
      </w:r>
      <w:proofErr w:type="spellEnd"/>
      <w:r w:rsidR="0095746E">
        <w:rPr>
          <w:color w:val="auto"/>
        </w:rPr>
        <w:t xml:space="preserve"> (EDTA)</w:t>
      </w:r>
      <w:r w:rsidR="00A31A49">
        <w:rPr>
          <w:color w:val="auto"/>
        </w:rPr>
        <w:t>.</w:t>
      </w:r>
      <w:r w:rsidR="0095746E">
        <w:rPr>
          <w:color w:val="auto"/>
        </w:rPr>
        <w:t xml:space="preserve"> Es wird nicht auf die Eigenschaft der </w:t>
      </w:r>
      <w:proofErr w:type="spellStart"/>
      <w:r w:rsidR="0095746E">
        <w:rPr>
          <w:color w:val="auto"/>
        </w:rPr>
        <w:t>Chelatbildung</w:t>
      </w:r>
      <w:proofErr w:type="spellEnd"/>
      <w:r w:rsidR="0095746E">
        <w:rPr>
          <w:color w:val="auto"/>
        </w:rPr>
        <w:t xml:space="preserve"> eingegangen und auch nicht</w:t>
      </w:r>
      <w:r w:rsidR="00A31A49">
        <w:rPr>
          <w:color w:val="auto"/>
        </w:rPr>
        <w:t xml:space="preserve"> auf</w:t>
      </w:r>
      <w:r w:rsidR="0095746E">
        <w:rPr>
          <w:color w:val="auto"/>
        </w:rPr>
        <w:t xml:space="preserve"> das Zentralteilchen, sowie die Liganden eines Komplexes eingegangen.</w:t>
      </w:r>
      <w:r w:rsidR="000425B2">
        <w:rPr>
          <w:color w:val="auto"/>
        </w:rPr>
        <w:t xml:space="preserve"> Auf die Themen der </w:t>
      </w:r>
      <w:proofErr w:type="spellStart"/>
      <w:r w:rsidR="000425B2">
        <w:rPr>
          <w:color w:val="auto"/>
        </w:rPr>
        <w:t>Ligandenaustauschreaktion</w:t>
      </w:r>
      <w:proofErr w:type="spellEnd"/>
      <w:r w:rsidR="000425B2">
        <w:rPr>
          <w:color w:val="auto"/>
        </w:rPr>
        <w:t xml:space="preserve"> und Stabilität</w:t>
      </w:r>
      <w:r w:rsidR="00973C54">
        <w:rPr>
          <w:color w:val="auto"/>
        </w:rPr>
        <w:t>s</w:t>
      </w:r>
      <w:r w:rsidR="000425B2">
        <w:rPr>
          <w:color w:val="auto"/>
        </w:rPr>
        <w:t>reihe muss nicht eingegangen werden, da Komplexe nicht explizit im Kerncurriculum gefordert sind</w:t>
      </w:r>
      <w:r w:rsidR="0095746E">
        <w:rPr>
          <w:color w:val="auto"/>
        </w:rPr>
        <w:t xml:space="preserve"> und diese für eine 9/10 Klassenstufe schwer zu begreifen sind</w:t>
      </w:r>
      <w:r w:rsidR="000425B2">
        <w:rPr>
          <w:color w:val="auto"/>
        </w:rPr>
        <w:t>. Dennoch ist dies ein schöner, anschaulicher Versuch, da der Farbumschlag des Indikators ausreicht um den Sch</w:t>
      </w:r>
      <w:r w:rsidR="000425B2">
        <w:rPr>
          <w:color w:val="auto"/>
        </w:rPr>
        <w:t>ü</w:t>
      </w:r>
      <w:r w:rsidR="000425B2">
        <w:rPr>
          <w:color w:val="auto"/>
        </w:rPr>
        <w:t>lerinnen und Schüler die Änderung visuell zu verdeutlichen.</w:t>
      </w:r>
    </w:p>
    <w:p w:rsidR="0086227B" w:rsidRDefault="00977ED8" w:rsidP="00CC307A">
      <w:pPr>
        <w:pStyle w:val="berschrift1"/>
      </w:pPr>
      <w:bookmarkStart w:id="2" w:name="_Toc457758471"/>
      <w:r>
        <w:t>Lehrer</w:t>
      </w:r>
      <w:r w:rsidR="00F31EBF">
        <w:t>versuch</w:t>
      </w:r>
      <w:r w:rsidR="00CC307A">
        <w:t>e</w:t>
      </w:r>
      <w:bookmarkEnd w:id="2"/>
    </w:p>
    <w:p w:rsidR="00CC307A" w:rsidRPr="00CC307A" w:rsidRDefault="00D837BB" w:rsidP="00CC307A">
      <w:pPr>
        <w:pStyle w:val="berschrift2"/>
        <w:rPr>
          <w:color w:val="auto"/>
        </w:rPr>
      </w:pPr>
      <w:bookmarkStart w:id="3" w:name="_Toc425776595"/>
      <w:bookmarkStart w:id="4" w:name="_Toc456688591"/>
      <w:bookmarkStart w:id="5" w:name="_Toc456688607"/>
      <w:r w:rsidRPr="00D837BB">
        <w:rPr>
          <w:noProof/>
          <w:lang w:eastAsia="de-DE"/>
        </w:rPr>
        <w:pict>
          <v:shape id="_x0000_s1084" type="#_x0000_t202" style="position:absolute;left:0;text-align:left;margin-left:-.05pt;margin-top:31.4pt;width:462.45pt;height:98.55pt;z-index:251731968;mso-width-relative:margin;mso-height-relative:margin" fillcolor="white [3201]" strokecolor="#4bacc6 [3208]" strokeweight="1pt">
            <v:stroke dashstyle="dash"/>
            <v:shadow color="#868686"/>
            <v:textbox style="mso-next-textbox:#_x0000_s1084">
              <w:txbxContent>
                <w:p w:rsidR="00777888" w:rsidRPr="00F31EBF" w:rsidRDefault="00777888" w:rsidP="00492839">
                  <w:pPr>
                    <w:rPr>
                      <w:color w:val="auto"/>
                    </w:rPr>
                  </w:pPr>
                  <w:r>
                    <w:rPr>
                      <w:color w:val="auto"/>
                    </w:rPr>
                    <w:t xml:space="preserve">In diesem Versuch wird mittels einer </w:t>
                  </w:r>
                  <w:proofErr w:type="spellStart"/>
                  <w:r>
                    <w:rPr>
                      <w:color w:val="auto"/>
                    </w:rPr>
                    <w:t>Redoxtitration</w:t>
                  </w:r>
                  <w:proofErr w:type="spellEnd"/>
                  <w:r>
                    <w:rPr>
                      <w:color w:val="auto"/>
                    </w:rPr>
                    <w:t xml:space="preserve"> der </w:t>
                  </w:r>
                  <w:proofErr w:type="spellStart"/>
                  <w:r>
                    <w:rPr>
                      <w:color w:val="auto"/>
                    </w:rPr>
                    <w:t>Sulfitgehalt</w:t>
                  </w:r>
                  <w:proofErr w:type="spellEnd"/>
                  <w:r>
                    <w:rPr>
                      <w:color w:val="auto"/>
                    </w:rPr>
                    <w:t xml:space="preserve"> im Weißwein bestimmt. Die Schülerinnen und Schüler sollten im Vorfeld das Prinzip einer Titration verstanden haben und dies auf neue Sachverhalte übertragen können. Des Weiteren sollten die Grundkenntnisse des chemischen Rechnens und das Aufstellen von Redoxreaktionen mit den Teilschritten b</w:t>
                  </w:r>
                  <w:r>
                    <w:rPr>
                      <w:color w:val="auto"/>
                    </w:rPr>
                    <w:t>e</w:t>
                  </w:r>
                  <w:r>
                    <w:rPr>
                      <w:color w:val="auto"/>
                    </w:rPr>
                    <w:t>herrscht werden.</w:t>
                  </w:r>
                </w:p>
              </w:txbxContent>
            </v:textbox>
            <w10:wrap type="square"/>
          </v:shape>
        </w:pict>
      </w:r>
      <w:bookmarkStart w:id="6" w:name="_Toc457758472"/>
      <w:bookmarkEnd w:id="3"/>
      <w:bookmarkEnd w:id="4"/>
      <w:bookmarkEnd w:id="5"/>
      <w:r w:rsidR="00CC307A" w:rsidRPr="00CC307A">
        <w:rPr>
          <w:color w:val="auto"/>
        </w:rPr>
        <w:t xml:space="preserve">V1 – </w:t>
      </w:r>
      <w:r w:rsidR="008C6587">
        <w:rPr>
          <w:color w:val="auto"/>
        </w:rPr>
        <w:t xml:space="preserve">Bestimmung des </w:t>
      </w:r>
      <w:proofErr w:type="spellStart"/>
      <w:r w:rsidR="008C6587">
        <w:rPr>
          <w:color w:val="auto"/>
        </w:rPr>
        <w:t>Sulfitgehaltes</w:t>
      </w:r>
      <w:proofErr w:type="spellEnd"/>
      <w:r w:rsidR="008C6587">
        <w:rPr>
          <w:color w:val="auto"/>
        </w:rPr>
        <w:t xml:space="preserve"> in Weißwein mittels </w:t>
      </w:r>
      <w:proofErr w:type="spellStart"/>
      <w:r w:rsidR="00D55AD1">
        <w:rPr>
          <w:color w:val="auto"/>
        </w:rPr>
        <w:t>Redoxtitration</w:t>
      </w:r>
      <w:bookmarkEnd w:id="6"/>
      <w:proofErr w:type="spellEnd"/>
    </w:p>
    <w:p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073637">
        <w:tc>
          <w:tcPr>
            <w:tcW w:w="9322" w:type="dxa"/>
            <w:gridSpan w:val="9"/>
            <w:shd w:val="clear" w:color="auto" w:fill="4F81BD"/>
            <w:vAlign w:val="center"/>
          </w:tcPr>
          <w:p w:rsidR="00D76F6F" w:rsidRPr="00F31EBF" w:rsidRDefault="00D76F6F" w:rsidP="00073637">
            <w:pPr>
              <w:spacing w:after="0"/>
              <w:jc w:val="center"/>
              <w:rPr>
                <w:b/>
                <w:bCs/>
                <w:color w:val="FFFFFF" w:themeColor="background1"/>
              </w:rPr>
            </w:pPr>
            <w:r w:rsidRPr="00F31EBF">
              <w:rPr>
                <w:b/>
                <w:bCs/>
                <w:color w:val="FFFFFF" w:themeColor="background1"/>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D55AD1" w:rsidP="00D76F6F">
            <w:pPr>
              <w:spacing w:after="0" w:line="276" w:lineRule="auto"/>
              <w:jc w:val="center"/>
              <w:rPr>
                <w:b/>
                <w:bCs/>
              </w:rPr>
            </w:pPr>
            <w:r>
              <w:rPr>
                <w:sz w:val="20"/>
              </w:rPr>
              <w:t>Weißwein</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D55AD1">
            <w:pPr>
              <w:spacing w:after="0"/>
              <w:jc w:val="center"/>
            </w:pPr>
            <w:r w:rsidRPr="009C5E28">
              <w:rPr>
                <w:sz w:val="20"/>
              </w:rPr>
              <w:t xml:space="preserve">H: </w:t>
            </w:r>
            <w:r w:rsidR="00D55AD1">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55AD1">
            <w:pPr>
              <w:spacing w:after="0"/>
              <w:jc w:val="center"/>
            </w:pPr>
            <w:r w:rsidRPr="009C5E28">
              <w:rPr>
                <w:sz w:val="20"/>
              </w:rPr>
              <w:t xml:space="preserve">P: </w:t>
            </w:r>
            <w:r w:rsidR="00D55AD1">
              <w:t>-</w:t>
            </w:r>
          </w:p>
        </w:tc>
      </w:tr>
      <w:tr w:rsidR="00D76F6F" w:rsidRPr="009C5E28" w:rsidTr="00D76F6F">
        <w:trPr>
          <w:trHeight w:val="434"/>
        </w:trPr>
        <w:tc>
          <w:tcPr>
            <w:tcW w:w="3027" w:type="dxa"/>
            <w:gridSpan w:val="3"/>
            <w:shd w:val="clear" w:color="auto" w:fill="auto"/>
            <w:vAlign w:val="center"/>
          </w:tcPr>
          <w:p w:rsidR="00D76F6F" w:rsidRPr="009C5E28" w:rsidRDefault="00D55AD1" w:rsidP="00D76F6F">
            <w:pPr>
              <w:spacing w:after="0" w:line="276" w:lineRule="auto"/>
              <w:jc w:val="center"/>
              <w:rPr>
                <w:bCs/>
                <w:sz w:val="20"/>
              </w:rPr>
            </w:pPr>
            <w:r>
              <w:rPr>
                <w:color w:val="auto"/>
                <w:sz w:val="20"/>
                <w:szCs w:val="20"/>
              </w:rPr>
              <w:t>Kaliumiodid</w:t>
            </w:r>
          </w:p>
        </w:tc>
        <w:tc>
          <w:tcPr>
            <w:tcW w:w="3177" w:type="dxa"/>
            <w:gridSpan w:val="3"/>
            <w:shd w:val="clear" w:color="auto" w:fill="auto"/>
            <w:vAlign w:val="center"/>
          </w:tcPr>
          <w:p w:rsidR="00D76F6F" w:rsidRPr="009C5E28" w:rsidRDefault="00D76F6F" w:rsidP="00D55AD1">
            <w:pPr>
              <w:pStyle w:val="Beschriftung"/>
              <w:spacing w:after="0"/>
              <w:jc w:val="center"/>
              <w:rPr>
                <w:sz w:val="20"/>
              </w:rPr>
            </w:pPr>
            <w:r w:rsidRPr="009C5E28">
              <w:rPr>
                <w:sz w:val="20"/>
              </w:rPr>
              <w:t xml:space="preserve">H: </w:t>
            </w:r>
            <w:r w:rsidR="00D55AD1">
              <w:t>-</w:t>
            </w:r>
          </w:p>
        </w:tc>
        <w:tc>
          <w:tcPr>
            <w:tcW w:w="3118" w:type="dxa"/>
            <w:gridSpan w:val="3"/>
            <w:shd w:val="clear" w:color="auto" w:fill="auto"/>
            <w:vAlign w:val="center"/>
          </w:tcPr>
          <w:p w:rsidR="00D76F6F" w:rsidRPr="009C5E28" w:rsidRDefault="00D76F6F" w:rsidP="00D55AD1">
            <w:pPr>
              <w:pStyle w:val="Beschriftung"/>
              <w:spacing w:after="0"/>
              <w:jc w:val="center"/>
              <w:rPr>
                <w:sz w:val="20"/>
              </w:rPr>
            </w:pPr>
            <w:r w:rsidRPr="009C5E28">
              <w:rPr>
                <w:sz w:val="20"/>
              </w:rPr>
              <w:t xml:space="preserve">P: </w:t>
            </w:r>
            <w:r w:rsidR="00D55AD1">
              <w:t>-</w:t>
            </w:r>
          </w:p>
        </w:tc>
      </w:tr>
      <w:tr w:rsidR="00D55AD1" w:rsidRPr="009C5E28" w:rsidTr="00D76F6F">
        <w:trPr>
          <w:trHeight w:val="434"/>
        </w:trPr>
        <w:tc>
          <w:tcPr>
            <w:tcW w:w="3027" w:type="dxa"/>
            <w:gridSpan w:val="3"/>
            <w:shd w:val="clear" w:color="auto" w:fill="auto"/>
            <w:vAlign w:val="center"/>
          </w:tcPr>
          <w:p w:rsidR="00D55AD1" w:rsidRDefault="00D55AD1" w:rsidP="00D76F6F">
            <w:pPr>
              <w:spacing w:after="0" w:line="276" w:lineRule="auto"/>
              <w:jc w:val="center"/>
              <w:rPr>
                <w:color w:val="auto"/>
                <w:sz w:val="20"/>
                <w:szCs w:val="20"/>
              </w:rPr>
            </w:pPr>
            <w:r>
              <w:rPr>
                <w:color w:val="auto"/>
                <w:sz w:val="20"/>
                <w:szCs w:val="20"/>
              </w:rPr>
              <w:t>Iod</w:t>
            </w:r>
          </w:p>
        </w:tc>
        <w:tc>
          <w:tcPr>
            <w:tcW w:w="3177" w:type="dxa"/>
            <w:gridSpan w:val="3"/>
            <w:shd w:val="clear" w:color="auto" w:fill="auto"/>
            <w:vAlign w:val="center"/>
          </w:tcPr>
          <w:p w:rsidR="00D55AD1" w:rsidRPr="009C5E28" w:rsidRDefault="00D55AD1" w:rsidP="00073637">
            <w:pPr>
              <w:pStyle w:val="Beschriftung"/>
              <w:spacing w:after="0"/>
              <w:jc w:val="center"/>
              <w:rPr>
                <w:sz w:val="20"/>
              </w:rPr>
            </w:pPr>
            <w:r>
              <w:rPr>
                <w:sz w:val="20"/>
              </w:rPr>
              <w:t>H: 312+ 332, 315, 319, 335, 372, 400</w:t>
            </w:r>
          </w:p>
        </w:tc>
        <w:tc>
          <w:tcPr>
            <w:tcW w:w="3118" w:type="dxa"/>
            <w:gridSpan w:val="3"/>
            <w:shd w:val="clear" w:color="auto" w:fill="auto"/>
            <w:vAlign w:val="center"/>
          </w:tcPr>
          <w:p w:rsidR="00D55AD1" w:rsidRPr="009C5E28" w:rsidRDefault="000701C2" w:rsidP="00073637">
            <w:pPr>
              <w:pStyle w:val="Beschriftung"/>
              <w:spacing w:after="0"/>
              <w:jc w:val="center"/>
              <w:rPr>
                <w:sz w:val="20"/>
              </w:rPr>
            </w:pPr>
            <w:r>
              <w:rPr>
                <w:sz w:val="20"/>
              </w:rPr>
              <w:t xml:space="preserve">P: </w:t>
            </w:r>
            <w:r w:rsidR="00D55AD1">
              <w:rPr>
                <w:sz w:val="20"/>
              </w:rPr>
              <w:t>273, 302+ 352, 305+ 351+ 338, 314</w:t>
            </w:r>
          </w:p>
        </w:tc>
      </w:tr>
      <w:tr w:rsidR="00D55AD1" w:rsidRPr="009C5E28" w:rsidTr="00D76F6F">
        <w:trPr>
          <w:trHeight w:val="434"/>
        </w:trPr>
        <w:tc>
          <w:tcPr>
            <w:tcW w:w="3027" w:type="dxa"/>
            <w:gridSpan w:val="3"/>
            <w:shd w:val="clear" w:color="auto" w:fill="auto"/>
            <w:vAlign w:val="center"/>
          </w:tcPr>
          <w:p w:rsidR="00D55AD1" w:rsidRDefault="00D55AD1" w:rsidP="00D76F6F">
            <w:pPr>
              <w:spacing w:after="0" w:line="276" w:lineRule="auto"/>
              <w:jc w:val="center"/>
              <w:rPr>
                <w:color w:val="auto"/>
                <w:sz w:val="20"/>
                <w:szCs w:val="20"/>
              </w:rPr>
            </w:pPr>
            <w:proofErr w:type="spellStart"/>
            <w:r>
              <w:rPr>
                <w:color w:val="auto"/>
                <w:sz w:val="20"/>
                <w:szCs w:val="20"/>
              </w:rPr>
              <w:t>Natriumthiosulfat-Pentahydrat</w:t>
            </w:r>
            <w:proofErr w:type="spellEnd"/>
          </w:p>
        </w:tc>
        <w:tc>
          <w:tcPr>
            <w:tcW w:w="3177" w:type="dxa"/>
            <w:gridSpan w:val="3"/>
            <w:shd w:val="clear" w:color="auto" w:fill="auto"/>
            <w:vAlign w:val="center"/>
          </w:tcPr>
          <w:p w:rsidR="00D55AD1" w:rsidRPr="009C5E28" w:rsidRDefault="00D55AD1" w:rsidP="00073637">
            <w:pPr>
              <w:pStyle w:val="Beschriftung"/>
              <w:spacing w:after="0"/>
              <w:jc w:val="center"/>
              <w:rPr>
                <w:sz w:val="20"/>
              </w:rPr>
            </w:pPr>
            <w:r>
              <w:rPr>
                <w:sz w:val="20"/>
              </w:rPr>
              <w:t>H: -</w:t>
            </w:r>
          </w:p>
        </w:tc>
        <w:tc>
          <w:tcPr>
            <w:tcW w:w="3118" w:type="dxa"/>
            <w:gridSpan w:val="3"/>
            <w:shd w:val="clear" w:color="auto" w:fill="auto"/>
            <w:vAlign w:val="center"/>
          </w:tcPr>
          <w:p w:rsidR="00D55AD1" w:rsidRPr="009C5E28" w:rsidRDefault="00D55AD1" w:rsidP="00073637">
            <w:pPr>
              <w:pStyle w:val="Beschriftung"/>
              <w:spacing w:after="0"/>
              <w:jc w:val="center"/>
              <w:rPr>
                <w:sz w:val="20"/>
              </w:rPr>
            </w:pPr>
            <w:r>
              <w:rPr>
                <w:sz w:val="20"/>
              </w:rPr>
              <w:t>P: -</w:t>
            </w:r>
          </w:p>
        </w:tc>
      </w:tr>
      <w:tr w:rsidR="00D55AD1" w:rsidRPr="009C5E28" w:rsidTr="00D76F6F">
        <w:trPr>
          <w:trHeight w:val="434"/>
        </w:trPr>
        <w:tc>
          <w:tcPr>
            <w:tcW w:w="3027" w:type="dxa"/>
            <w:gridSpan w:val="3"/>
            <w:shd w:val="clear" w:color="auto" w:fill="auto"/>
            <w:vAlign w:val="center"/>
          </w:tcPr>
          <w:p w:rsidR="00D55AD1" w:rsidRDefault="00D55AD1" w:rsidP="00D76F6F">
            <w:pPr>
              <w:spacing w:after="0" w:line="276" w:lineRule="auto"/>
              <w:jc w:val="center"/>
              <w:rPr>
                <w:color w:val="auto"/>
                <w:sz w:val="20"/>
                <w:szCs w:val="20"/>
              </w:rPr>
            </w:pPr>
            <w:r>
              <w:rPr>
                <w:color w:val="auto"/>
                <w:sz w:val="20"/>
                <w:szCs w:val="20"/>
              </w:rPr>
              <w:t>Stärke</w:t>
            </w:r>
          </w:p>
        </w:tc>
        <w:tc>
          <w:tcPr>
            <w:tcW w:w="3177" w:type="dxa"/>
            <w:gridSpan w:val="3"/>
            <w:shd w:val="clear" w:color="auto" w:fill="auto"/>
            <w:vAlign w:val="center"/>
          </w:tcPr>
          <w:p w:rsidR="00D55AD1" w:rsidRPr="009C5E28" w:rsidRDefault="00D55AD1" w:rsidP="00073637">
            <w:pPr>
              <w:pStyle w:val="Beschriftung"/>
              <w:spacing w:after="0"/>
              <w:jc w:val="center"/>
              <w:rPr>
                <w:sz w:val="20"/>
              </w:rPr>
            </w:pPr>
            <w:r>
              <w:rPr>
                <w:sz w:val="20"/>
              </w:rPr>
              <w:t>H: -</w:t>
            </w:r>
          </w:p>
        </w:tc>
        <w:tc>
          <w:tcPr>
            <w:tcW w:w="3118" w:type="dxa"/>
            <w:gridSpan w:val="3"/>
            <w:shd w:val="clear" w:color="auto" w:fill="auto"/>
            <w:vAlign w:val="center"/>
          </w:tcPr>
          <w:p w:rsidR="00D55AD1" w:rsidRPr="009C5E28" w:rsidRDefault="00D55AD1" w:rsidP="00073637">
            <w:pPr>
              <w:pStyle w:val="Beschriftung"/>
              <w:spacing w:after="0"/>
              <w:jc w:val="center"/>
              <w:rPr>
                <w:sz w:val="20"/>
              </w:rPr>
            </w:pPr>
            <w:r>
              <w:rPr>
                <w:sz w:val="20"/>
              </w:rPr>
              <w:t>P: -</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55AD1" w:rsidP="00D76F6F">
            <w:pPr>
              <w:spacing w:after="0"/>
              <w:jc w:val="center"/>
              <w:rPr>
                <w:b/>
                <w:bCs/>
              </w:rPr>
            </w:pPr>
            <w:r>
              <w:rPr>
                <w:b/>
                <w:bCs/>
                <w:noProof/>
                <w:lang w:eastAsia="de-DE"/>
              </w:rPr>
              <w:drawing>
                <wp:inline distT="0" distB="0" distL="0" distR="0">
                  <wp:extent cx="504282" cy="504000"/>
                  <wp:effectExtent l="19050" t="0" r="0" b="0"/>
                  <wp:docPr id="3" name="Bild 3"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ocuments\SVP CHEMIE\Piktogramme\Piktogramme\Grau\Ätzend.png"/>
                          <pic:cNvPicPr>
                            <a:picLocks noChangeAspect="1" noChangeArrowheads="1"/>
                          </pic:cNvPicPr>
                        </pic:nvPicPr>
                        <pic:blipFill>
                          <a:blip r:embed="rId13" cstate="print"/>
                          <a:srcRect/>
                          <a:stretch>
                            <a:fillRect/>
                          </a:stretch>
                        </pic:blipFill>
                        <pic:spPr bwMode="auto">
                          <a:xfrm>
                            <a:off x="0" y="0"/>
                            <a:ext cx="504282"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55AD1" w:rsidP="00D76F6F">
            <w:pPr>
              <w:spacing w:after="0"/>
              <w:jc w:val="center"/>
            </w:pPr>
            <w:r>
              <w:rPr>
                <w:noProof/>
                <w:lang w:eastAsia="de-DE"/>
              </w:rPr>
              <w:drawing>
                <wp:inline distT="0" distB="0" distL="0" distR="0">
                  <wp:extent cx="504040" cy="504000"/>
                  <wp:effectExtent l="19050" t="0" r="0" b="0"/>
                  <wp:docPr id="2" name="Bild 2" descr="C:\Users\Kristina\Documents\SVP CHEMIE\Piktogramm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Umweltgefahr.png"/>
                          <pic:cNvPicPr>
                            <a:picLocks noChangeAspect="1" noChangeArrowheads="1"/>
                          </pic:cNvPicPr>
                        </pic:nvPicPr>
                        <pic:blipFill>
                          <a:blip r:embed="rId21" cstate="print"/>
                          <a:srcRect/>
                          <a:stretch>
                            <a:fillRect/>
                          </a:stretch>
                        </pic:blipFill>
                        <pic:spPr bwMode="auto">
                          <a:xfrm>
                            <a:off x="0" y="0"/>
                            <a:ext cx="504040" cy="504000"/>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lastRenderedPageBreak/>
        <w:t xml:space="preserve">Materialien: </w:t>
      </w:r>
      <w:r>
        <w:tab/>
      </w:r>
      <w:r>
        <w:tab/>
      </w:r>
      <w:r w:rsidR="00D55AD1">
        <w:t xml:space="preserve">Bürette, Trichter, Becherglas (500 </w:t>
      </w:r>
      <w:proofErr w:type="spellStart"/>
      <w:r w:rsidR="00D55AD1">
        <w:t>mL</w:t>
      </w:r>
      <w:proofErr w:type="spellEnd"/>
      <w:r w:rsidR="00D55AD1">
        <w:t xml:space="preserve">), </w:t>
      </w:r>
      <w:proofErr w:type="spellStart"/>
      <w:r w:rsidR="00D55AD1">
        <w:t>Magnetrührer</w:t>
      </w:r>
      <w:proofErr w:type="spellEnd"/>
      <w:r w:rsidR="00D55AD1">
        <w:t xml:space="preserve">, Pipette, </w:t>
      </w:r>
      <w:proofErr w:type="spellStart"/>
      <w:r w:rsidR="00D55AD1">
        <w:t>Peleusball</w:t>
      </w:r>
      <w:proofErr w:type="spellEnd"/>
      <w:r w:rsidR="00D55AD1">
        <w:t>, 2 Bechergläser (100 mL)</w:t>
      </w:r>
      <w:r w:rsidR="005B7716">
        <w:t>, Bergerglas (250 mL)</w:t>
      </w:r>
      <w:r w:rsidR="003536C5">
        <w:t>,</w:t>
      </w:r>
      <w:r w:rsidR="003536C5" w:rsidRPr="003536C5">
        <w:t xml:space="preserve"> </w:t>
      </w:r>
      <w:r w:rsidR="003536C5">
        <w:t>Stativ, Muffe</w:t>
      </w:r>
    </w:p>
    <w:p w:rsidR="008E1A25" w:rsidRPr="00ED07C2" w:rsidRDefault="00A9233D" w:rsidP="008E1A25">
      <w:pPr>
        <w:tabs>
          <w:tab w:val="left" w:pos="1701"/>
          <w:tab w:val="left" w:pos="1985"/>
        </w:tabs>
        <w:ind w:left="1980" w:hanging="1980"/>
      </w:pPr>
      <w:r>
        <w:t>Chemikalien:</w:t>
      </w:r>
      <w:r>
        <w:tab/>
      </w:r>
      <w:r>
        <w:tab/>
      </w:r>
      <w:proofErr w:type="spellStart"/>
      <w:r w:rsidR="00BA1255">
        <w:t>Iodlösung</w:t>
      </w:r>
      <w:proofErr w:type="spellEnd"/>
      <w:r w:rsidR="005B7716">
        <w:t xml:space="preserve"> </w:t>
      </w:r>
      <w:r w:rsidR="00BA1255">
        <w:t>(</w:t>
      </w:r>
      <w:r w:rsidR="005B7716">
        <w:t>Kaliumiodid und Iod</w:t>
      </w:r>
      <w:r w:rsidR="0056694B">
        <w:t xml:space="preserve"> 0,05 M</w:t>
      </w:r>
      <w:r w:rsidR="005B7716">
        <w:t xml:space="preserve">), Stärkelösung, Weißwein, </w:t>
      </w:r>
      <w:proofErr w:type="spellStart"/>
      <w:r w:rsidR="005B7716">
        <w:t>Natriumthiosulfat</w:t>
      </w:r>
      <w:proofErr w:type="spellEnd"/>
      <w:r w:rsidR="005B7716">
        <w:t>-Lösung</w:t>
      </w:r>
      <w:r w:rsidR="0056694B">
        <w:t xml:space="preserve"> (0,05 M)</w:t>
      </w:r>
    </w:p>
    <w:p w:rsidR="00994634" w:rsidRDefault="008E1A25" w:rsidP="008E1A25">
      <w:pPr>
        <w:tabs>
          <w:tab w:val="left" w:pos="1701"/>
          <w:tab w:val="left" w:pos="1985"/>
        </w:tabs>
        <w:ind w:left="1980" w:hanging="1980"/>
      </w:pPr>
      <w:r>
        <w:t xml:space="preserve">Durchführung: </w:t>
      </w:r>
      <w:r>
        <w:tab/>
      </w:r>
      <w:r>
        <w:tab/>
      </w:r>
      <w:r>
        <w:tab/>
      </w:r>
      <w:r w:rsidR="005B7716">
        <w:t>Es werden 50 mL Weißwein</w:t>
      </w:r>
      <w:r w:rsidR="00B901F6">
        <w:t xml:space="preserve"> </w:t>
      </w:r>
      <w:r w:rsidR="005B7716">
        <w:t>in das Becherglas gegeben. Dazu werden 10 </w:t>
      </w:r>
      <w:proofErr w:type="spellStart"/>
      <w:r w:rsidR="005B7716">
        <w:t>mL</w:t>
      </w:r>
      <w:proofErr w:type="spellEnd"/>
      <w:r w:rsidR="005B7716">
        <w:t xml:space="preserve"> der </w:t>
      </w:r>
      <w:proofErr w:type="spellStart"/>
      <w:r w:rsidR="005B7716">
        <w:t>Iodlösung</w:t>
      </w:r>
      <w:proofErr w:type="spellEnd"/>
      <w:r w:rsidR="005B7716">
        <w:t xml:space="preserve"> und 2-3 </w:t>
      </w:r>
      <w:proofErr w:type="spellStart"/>
      <w:r w:rsidR="005B7716">
        <w:t>mL</w:t>
      </w:r>
      <w:proofErr w:type="spellEnd"/>
      <w:r w:rsidR="005B7716">
        <w:t xml:space="preserve"> Stärkelösung gegeben und gut du</w:t>
      </w:r>
      <w:r w:rsidR="00A31A49">
        <w:t>r</w:t>
      </w:r>
      <w:r w:rsidR="005B7716">
        <w:t>c</w:t>
      </w:r>
      <w:r w:rsidR="005B7716">
        <w:t>h</w:t>
      </w:r>
      <w:r w:rsidR="005B7716">
        <w:t xml:space="preserve">mischt. Anschließend wird mit </w:t>
      </w:r>
      <w:proofErr w:type="spellStart"/>
      <w:r w:rsidR="005B7716">
        <w:t>Natriumthiosulfat</w:t>
      </w:r>
      <w:proofErr w:type="spellEnd"/>
      <w:r w:rsidR="005B7716">
        <w:t xml:space="preserve"> bis zur Entfärbung </w:t>
      </w:r>
      <w:r w:rsidR="0095746E">
        <w:t>ti</w:t>
      </w:r>
      <w:r w:rsidR="0095746E">
        <w:t>t</w:t>
      </w:r>
      <w:r w:rsidR="0095746E">
        <w:t>riert</w:t>
      </w:r>
      <w:r w:rsidR="005B7716">
        <w:t>.</w:t>
      </w:r>
    </w:p>
    <w:p w:rsidR="008E1A25" w:rsidRDefault="008E1A25" w:rsidP="008E1A25">
      <w:pPr>
        <w:tabs>
          <w:tab w:val="left" w:pos="1701"/>
          <w:tab w:val="left" w:pos="1985"/>
        </w:tabs>
        <w:ind w:left="1980" w:hanging="1980"/>
      </w:pPr>
      <w:r>
        <w:t>Beobachtung:</w:t>
      </w:r>
      <w:r>
        <w:tab/>
      </w:r>
      <w:r>
        <w:tab/>
      </w:r>
      <w:r>
        <w:tab/>
      </w:r>
      <w:r w:rsidR="005B7716">
        <w:t>Bei der Zugabe der Stärkelö</w:t>
      </w:r>
      <w:r w:rsidR="00BA1255">
        <w:t>sung zu dem Weißwein-</w:t>
      </w:r>
      <w:proofErr w:type="spellStart"/>
      <w:r w:rsidR="00BA1255">
        <w:t>Iodwasser</w:t>
      </w:r>
      <w:proofErr w:type="spellEnd"/>
      <w:r w:rsidR="00BA1255">
        <w:t>-</w:t>
      </w:r>
      <w:r w:rsidR="005B7716">
        <w:t>Gemisch zeigt die Lösung eine dunkelblaue bis schwarze Färbung. Nach einem Ve</w:t>
      </w:r>
      <w:r w:rsidR="005B7716">
        <w:t>r</w:t>
      </w:r>
      <w:r w:rsidR="005B7716">
        <w:t xml:space="preserve">brauch von 9,5 </w:t>
      </w:r>
      <w:proofErr w:type="spellStart"/>
      <w:r w:rsidR="005B7716">
        <w:t>mL</w:t>
      </w:r>
      <w:proofErr w:type="spellEnd"/>
      <w:r w:rsidR="005B7716">
        <w:t xml:space="preserve"> der </w:t>
      </w:r>
      <w:proofErr w:type="spellStart"/>
      <w:r w:rsidR="005B7716">
        <w:t>Thiosulfatlösung</w:t>
      </w:r>
      <w:proofErr w:type="spellEnd"/>
      <w:r w:rsidR="005B7716">
        <w:t xml:space="preserve"> ist die Lösung vollständig entfärbt</w:t>
      </w:r>
      <w:r w:rsidR="00E848FE">
        <w:t xml:space="preserve"> (siehe Abbildung 1)</w:t>
      </w:r>
      <w:r w:rsidR="005B7716">
        <w:t>.</w:t>
      </w:r>
    </w:p>
    <w:p w:rsidR="00E848FE" w:rsidRDefault="00E848FE" w:rsidP="00E848FE">
      <w:pPr>
        <w:pStyle w:val="Listenabsatz"/>
        <w:keepNext/>
        <w:tabs>
          <w:tab w:val="left" w:pos="1701"/>
          <w:tab w:val="left" w:pos="1985"/>
        </w:tabs>
        <w:jc w:val="center"/>
      </w:pPr>
    </w:p>
    <w:p w:rsidR="00B901F6" w:rsidRDefault="00E848FE" w:rsidP="00E848FE">
      <w:pPr>
        <w:pStyle w:val="Listenabsatz"/>
        <w:keepNext/>
        <w:numPr>
          <w:ilvl w:val="0"/>
          <w:numId w:val="27"/>
        </w:numPr>
        <w:tabs>
          <w:tab w:val="left" w:pos="1701"/>
          <w:tab w:val="left" w:pos="1985"/>
        </w:tabs>
        <w:jc w:val="center"/>
      </w:pPr>
      <w:r>
        <w:rPr>
          <w:noProof/>
          <w:lang w:eastAsia="de-DE"/>
        </w:rPr>
        <w:drawing>
          <wp:inline distT="0" distB="0" distL="0" distR="0">
            <wp:extent cx="1222988" cy="2684780"/>
            <wp:effectExtent l="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srcRect/>
                    <a:stretch/>
                  </pic:blipFill>
                  <pic:spPr bwMode="auto">
                    <a:xfrm>
                      <a:off x="0" y="0"/>
                      <a:ext cx="1223153" cy="26851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ab/>
        <w:t>2.</w:t>
      </w:r>
      <w:r>
        <w:rPr>
          <w:noProof/>
          <w:lang w:eastAsia="de-DE"/>
        </w:rPr>
        <w:t xml:space="preserve"> </w:t>
      </w:r>
      <w:r>
        <w:rPr>
          <w:noProof/>
          <w:lang w:eastAsia="de-DE"/>
        </w:rPr>
        <w:drawing>
          <wp:inline distT="0" distB="0" distL="0" distR="0">
            <wp:extent cx="1350645" cy="2681572"/>
            <wp:effectExtent l="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srcRect/>
                    <a:stretch/>
                  </pic:blipFill>
                  <pic:spPr bwMode="auto">
                    <a:xfrm>
                      <a:off x="0" y="0"/>
                      <a:ext cx="1353102" cy="2686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01F6" w:rsidRDefault="00B901F6" w:rsidP="00E848FE">
      <w:pPr>
        <w:pStyle w:val="Beschriftung"/>
        <w:jc w:val="center"/>
      </w:pPr>
      <w:r>
        <w:t xml:space="preserve">Abb. </w:t>
      </w:r>
      <w:fldSimple w:instr=" SEQ Abb. \* ARABIC ">
        <w:r w:rsidR="00777888">
          <w:rPr>
            <w:noProof/>
          </w:rPr>
          <w:t>1</w:t>
        </w:r>
      </w:fldSimple>
      <w:r>
        <w:t xml:space="preserve"> </w:t>
      </w:r>
      <w:r w:rsidR="00E848FE">
        <w:t>–</w:t>
      </w:r>
      <w:r>
        <w:t xml:space="preserve"> </w:t>
      </w:r>
      <w:r w:rsidR="00E848FE">
        <w:rPr>
          <w:noProof/>
        </w:rPr>
        <w:t xml:space="preserve">1. Weißwein-Iodwasser- Stärkegemisch vor der </w:t>
      </w:r>
      <w:r w:rsidR="00281905">
        <w:rPr>
          <w:noProof/>
        </w:rPr>
        <w:t>Zugabe von Natriumthiosulfat-Lösung</w:t>
      </w:r>
      <w:r w:rsidR="00E848FE">
        <w:rPr>
          <w:noProof/>
        </w:rPr>
        <w:t xml:space="preserve">. 2. </w:t>
      </w:r>
      <w:r w:rsidR="00281905">
        <w:rPr>
          <w:noProof/>
        </w:rPr>
        <w:t>Weißwein-Iodwasser- Stärkegemisch nach Zugabe von Natriumthiosulfat-Lösung.</w:t>
      </w:r>
    </w:p>
    <w:p w:rsidR="00074A34" w:rsidRDefault="008E1A25" w:rsidP="003475A1">
      <w:pPr>
        <w:tabs>
          <w:tab w:val="left" w:pos="1701"/>
          <w:tab w:val="left" w:pos="1985"/>
        </w:tabs>
        <w:ind w:left="2124" w:hanging="2124"/>
        <w:rPr>
          <w:noProof/>
        </w:rPr>
      </w:pPr>
      <w:r>
        <w:t>Deutung:</w:t>
      </w:r>
      <w:r>
        <w:tab/>
      </w:r>
      <w:r>
        <w:tab/>
      </w:r>
      <w:r w:rsidR="00125CEA">
        <w:tab/>
      </w:r>
      <w:r w:rsidR="007318CA">
        <w:t>Die d</w:t>
      </w:r>
      <w:r w:rsidR="00281905">
        <w:t xml:space="preserve">unkle Färbung des </w:t>
      </w:r>
      <w:r w:rsidR="00281905">
        <w:rPr>
          <w:noProof/>
        </w:rPr>
        <w:t xml:space="preserve">Weißwein-Iodwasser-Stärkegemisch ist durch die Bildung des farbigen Iod-Stärke-Komplexes bedingt. Dieser zeigt eine dunkelblaue bis schwarze Färbung auf. Iod liegt im Überschuss vor und wird mit der Natriumthiosulfatlösung </w:t>
      </w:r>
      <w:r w:rsidR="0095746E">
        <w:rPr>
          <w:noProof/>
        </w:rPr>
        <w:t>oxidiert um au</w:t>
      </w:r>
      <w:r w:rsidR="00A31A49">
        <w:rPr>
          <w:noProof/>
        </w:rPr>
        <w:t>f</w:t>
      </w:r>
      <w:r w:rsidR="0095746E">
        <w:rPr>
          <w:noProof/>
        </w:rPr>
        <w:t xml:space="preserve"> die im Iod-Stärke-Komplex gebundenen Ionen zurückschließen zu können.</w:t>
      </w:r>
      <w:r w:rsidR="00281905">
        <w:rPr>
          <w:noProof/>
        </w:rPr>
        <w:t xml:space="preserve"> Dieser Vorgang führt zu der Entfärbung des Gemisches. Folgende Reaktionen lauf</w:t>
      </w:r>
      <w:r w:rsidR="0095746E">
        <w:rPr>
          <w:noProof/>
        </w:rPr>
        <w:t>en ab.</w:t>
      </w:r>
      <w:r w:rsidR="00A31A49">
        <w:rPr>
          <w:noProof/>
        </w:rPr>
        <w:t>:</w:t>
      </w:r>
    </w:p>
    <w:p w:rsidR="00281905" w:rsidRDefault="00281905" w:rsidP="003475A1">
      <w:pPr>
        <w:tabs>
          <w:tab w:val="left" w:pos="1701"/>
          <w:tab w:val="left" w:pos="1985"/>
        </w:tabs>
        <w:ind w:left="2124" w:hanging="2124"/>
        <w:rPr>
          <w:noProof/>
          <w:lang w:val="en-US"/>
        </w:rPr>
      </w:pPr>
      <w:r>
        <w:rPr>
          <w:noProof/>
        </w:rPr>
        <w:tab/>
      </w:r>
      <w:r>
        <w:rPr>
          <w:noProof/>
        </w:rPr>
        <w:tab/>
      </w:r>
      <w:r>
        <w:rPr>
          <w:noProof/>
        </w:rPr>
        <w:tab/>
      </w:r>
      <w:r w:rsidRPr="00281905">
        <w:rPr>
          <w:noProof/>
          <w:lang w:val="en-US"/>
        </w:rPr>
        <w:t>SO</w:t>
      </w:r>
      <w:r w:rsidRPr="00281905">
        <w:rPr>
          <w:noProof/>
          <w:vertAlign w:val="subscript"/>
          <w:lang w:val="en-US"/>
        </w:rPr>
        <w:t>3</w:t>
      </w:r>
      <w:r w:rsidRPr="00281905">
        <w:rPr>
          <w:noProof/>
          <w:vertAlign w:val="superscript"/>
          <w:lang w:val="en-US"/>
        </w:rPr>
        <w:t>2-</w:t>
      </w:r>
      <w:r w:rsidRPr="00281905">
        <w:rPr>
          <w:noProof/>
          <w:vertAlign w:val="subscript"/>
          <w:lang w:val="en-US"/>
        </w:rPr>
        <w:t>(aq)</w:t>
      </w:r>
      <w:r w:rsidRPr="00281905">
        <w:rPr>
          <w:noProof/>
          <w:lang w:val="en-US"/>
        </w:rPr>
        <w:t xml:space="preserve"> + 3 H</w:t>
      </w:r>
      <w:r w:rsidRPr="00281905">
        <w:rPr>
          <w:noProof/>
          <w:vertAlign w:val="subscript"/>
          <w:lang w:val="en-US"/>
        </w:rPr>
        <w:t>2</w:t>
      </w:r>
      <w:r w:rsidRPr="00281905">
        <w:rPr>
          <w:noProof/>
          <w:lang w:val="en-US"/>
        </w:rPr>
        <w:t>O</w:t>
      </w:r>
      <w:r w:rsidRPr="00281905">
        <w:rPr>
          <w:noProof/>
          <w:vertAlign w:val="subscript"/>
          <w:lang w:val="en-US"/>
        </w:rPr>
        <w:t>(l)</w:t>
      </w:r>
      <w:r w:rsidRPr="00281905">
        <w:rPr>
          <w:noProof/>
          <w:lang w:val="en-US"/>
        </w:rPr>
        <w:t xml:space="preserve"> + I</w:t>
      </w:r>
      <w:r w:rsidRPr="00281905">
        <w:rPr>
          <w:noProof/>
          <w:vertAlign w:val="subscript"/>
          <w:lang w:val="en-US"/>
        </w:rPr>
        <w:t>2(aq)</w:t>
      </w:r>
      <w:r>
        <w:rPr>
          <w:noProof/>
          <w:lang w:val="en-US"/>
        </w:rPr>
        <w:t xml:space="preserve"> ⇌ SO</w:t>
      </w:r>
      <w:r w:rsidRPr="00281905">
        <w:rPr>
          <w:noProof/>
          <w:vertAlign w:val="subscript"/>
          <w:lang w:val="en-US"/>
        </w:rPr>
        <w:t>4</w:t>
      </w:r>
      <w:r w:rsidRPr="00281905">
        <w:rPr>
          <w:noProof/>
          <w:vertAlign w:val="superscript"/>
          <w:lang w:val="en-US"/>
        </w:rPr>
        <w:t>2-</w:t>
      </w:r>
      <w:r w:rsidRPr="00281905">
        <w:rPr>
          <w:noProof/>
          <w:vertAlign w:val="subscript"/>
          <w:lang w:val="en-US"/>
        </w:rPr>
        <w:t>(aq)</w:t>
      </w:r>
      <w:r>
        <w:rPr>
          <w:noProof/>
          <w:lang w:val="en-US"/>
        </w:rPr>
        <w:t>+ 2H</w:t>
      </w:r>
      <w:r w:rsidRPr="00281905">
        <w:rPr>
          <w:noProof/>
          <w:vertAlign w:val="subscript"/>
          <w:lang w:val="en-US"/>
        </w:rPr>
        <w:t>3</w:t>
      </w:r>
      <w:r>
        <w:rPr>
          <w:noProof/>
          <w:lang w:val="en-US"/>
        </w:rPr>
        <w:t>O</w:t>
      </w:r>
      <w:r w:rsidRPr="00281905">
        <w:rPr>
          <w:noProof/>
          <w:vertAlign w:val="superscript"/>
          <w:lang w:val="en-US"/>
        </w:rPr>
        <w:t>+</w:t>
      </w:r>
      <w:r w:rsidRPr="00281905">
        <w:rPr>
          <w:noProof/>
          <w:vertAlign w:val="subscript"/>
          <w:lang w:val="en-US"/>
        </w:rPr>
        <w:t>(aq)</w:t>
      </w:r>
      <w:r>
        <w:rPr>
          <w:noProof/>
          <w:lang w:val="en-US"/>
        </w:rPr>
        <w:t xml:space="preserve"> + 2 I</w:t>
      </w:r>
      <w:r w:rsidRPr="00281905">
        <w:rPr>
          <w:noProof/>
          <w:vertAlign w:val="superscript"/>
          <w:lang w:val="en-US"/>
        </w:rPr>
        <w:t>-</w:t>
      </w:r>
      <w:r w:rsidRPr="00281905">
        <w:rPr>
          <w:noProof/>
          <w:vertAlign w:val="subscript"/>
          <w:lang w:val="en-US"/>
        </w:rPr>
        <w:t>(aq)</w:t>
      </w:r>
      <w:r w:rsidR="00C02CA6">
        <w:rPr>
          <w:noProof/>
          <w:lang w:val="en-US"/>
        </w:rPr>
        <w:t xml:space="preserve"> </w:t>
      </w:r>
      <w:r w:rsidR="003F4E9C">
        <w:rPr>
          <w:noProof/>
          <w:lang w:val="en-US"/>
        </w:rPr>
        <w:tab/>
        <w:t>(1)</w:t>
      </w:r>
    </w:p>
    <w:p w:rsidR="003962C5" w:rsidRPr="003962C5" w:rsidRDefault="003962C5" w:rsidP="003475A1">
      <w:pPr>
        <w:tabs>
          <w:tab w:val="left" w:pos="1701"/>
          <w:tab w:val="left" w:pos="1985"/>
        </w:tabs>
        <w:ind w:left="2124" w:hanging="2124"/>
        <w:rPr>
          <w:noProof/>
        </w:rPr>
      </w:pPr>
      <w:r w:rsidRPr="008B3865">
        <w:rPr>
          <w:noProof/>
          <w:lang w:val="en-US"/>
        </w:rPr>
        <w:lastRenderedPageBreak/>
        <w:tab/>
      </w:r>
      <w:r w:rsidRPr="008B3865">
        <w:rPr>
          <w:noProof/>
          <w:lang w:val="en-US"/>
        </w:rPr>
        <w:tab/>
      </w:r>
      <w:r w:rsidRPr="008B3865">
        <w:rPr>
          <w:noProof/>
          <w:lang w:val="en-US"/>
        </w:rPr>
        <w:tab/>
      </w:r>
      <w:r>
        <w:rPr>
          <w:noProof/>
        </w:rPr>
        <w:t>Das Sulfit ist im Weißwein enthalten, um zu verhindern, dass Weine nachgären und zu Essig werden.</w:t>
      </w:r>
    </w:p>
    <w:p w:rsidR="00C02CA6" w:rsidRDefault="00253364" w:rsidP="003475A1">
      <w:pPr>
        <w:tabs>
          <w:tab w:val="left" w:pos="1701"/>
          <w:tab w:val="left" w:pos="1985"/>
        </w:tabs>
        <w:ind w:left="2124" w:hanging="2124"/>
        <w:rPr>
          <w:noProof/>
        </w:rPr>
      </w:pPr>
      <w:r w:rsidRPr="00253364">
        <w:rPr>
          <w:noProof/>
        </w:rPr>
        <w:tab/>
      </w:r>
      <w:r w:rsidRPr="00253364">
        <w:rPr>
          <w:noProof/>
        </w:rPr>
        <w:tab/>
      </w:r>
      <w:r w:rsidRPr="00253364">
        <w:rPr>
          <w:noProof/>
        </w:rPr>
        <w:tab/>
      </w:r>
      <w:r w:rsidR="00C02CA6" w:rsidRPr="00C02CA6">
        <w:rPr>
          <w:noProof/>
        </w:rPr>
        <w:t>Bei dieser Reaktion findet e</w:t>
      </w:r>
      <w:r w:rsidR="00C02CA6">
        <w:rPr>
          <w:noProof/>
        </w:rPr>
        <w:t xml:space="preserve">ine Oxidation des Sulfits zu Sulfat statt. </w:t>
      </w:r>
    </w:p>
    <w:p w:rsidR="00C02CA6" w:rsidRDefault="00C02CA6" w:rsidP="003475A1">
      <w:pPr>
        <w:tabs>
          <w:tab w:val="left" w:pos="1701"/>
          <w:tab w:val="left" w:pos="1985"/>
        </w:tabs>
        <w:ind w:left="2124" w:firstLine="3"/>
        <w:rPr>
          <w:noProof/>
        </w:rPr>
      </w:pPr>
      <w:r>
        <w:rPr>
          <w:noProof/>
        </w:rPr>
        <w:t>Die Reaktion der Rücktitration vom Iod im Überschuss mit Thiosulfat sieht wie folgt aus:</w:t>
      </w:r>
    </w:p>
    <w:p w:rsidR="00C02CA6" w:rsidRPr="003F4E9C" w:rsidRDefault="00C02CA6" w:rsidP="003475A1">
      <w:pPr>
        <w:tabs>
          <w:tab w:val="left" w:pos="1701"/>
          <w:tab w:val="left" w:pos="1985"/>
        </w:tabs>
        <w:ind w:left="2124" w:firstLine="3"/>
        <w:rPr>
          <w:noProof/>
          <w:lang w:val="en-US"/>
        </w:rPr>
      </w:pPr>
      <w:r w:rsidRPr="00C02CA6">
        <w:rPr>
          <w:noProof/>
          <w:lang w:val="en-US"/>
        </w:rPr>
        <w:t>2 S</w:t>
      </w:r>
      <w:r w:rsidRPr="00C02CA6">
        <w:rPr>
          <w:noProof/>
          <w:vertAlign w:val="subscript"/>
          <w:lang w:val="en-US"/>
        </w:rPr>
        <w:t>2</w:t>
      </w:r>
      <w:r w:rsidRPr="00C02CA6">
        <w:rPr>
          <w:noProof/>
          <w:lang w:val="en-US"/>
        </w:rPr>
        <w:t>O</w:t>
      </w:r>
      <w:r w:rsidRPr="00C02CA6">
        <w:rPr>
          <w:noProof/>
          <w:vertAlign w:val="subscript"/>
          <w:lang w:val="en-US"/>
        </w:rPr>
        <w:t>3</w:t>
      </w:r>
      <w:r w:rsidRPr="00C02CA6">
        <w:rPr>
          <w:noProof/>
          <w:vertAlign w:val="superscript"/>
          <w:lang w:val="en-US"/>
        </w:rPr>
        <w:t>2-</w:t>
      </w:r>
      <w:r w:rsidRPr="00C02CA6">
        <w:rPr>
          <w:noProof/>
          <w:vertAlign w:val="subscript"/>
          <w:lang w:val="en-US"/>
        </w:rPr>
        <w:t>(aq)</w:t>
      </w:r>
      <w:r w:rsidRPr="00C02CA6">
        <w:rPr>
          <w:noProof/>
          <w:lang w:val="en-US"/>
        </w:rPr>
        <w:t xml:space="preserve"> + I</w:t>
      </w:r>
      <w:r w:rsidRPr="00C02CA6">
        <w:rPr>
          <w:noProof/>
          <w:vertAlign w:val="subscript"/>
          <w:lang w:val="en-US"/>
        </w:rPr>
        <w:t>2(aq)</w:t>
      </w:r>
      <w:r w:rsidRPr="00C02CA6">
        <w:rPr>
          <w:noProof/>
          <w:lang w:val="en-US"/>
        </w:rPr>
        <w:t xml:space="preserve"> ⇌ S</w:t>
      </w:r>
      <w:r w:rsidRPr="00C02CA6">
        <w:rPr>
          <w:noProof/>
          <w:vertAlign w:val="subscript"/>
          <w:lang w:val="en-US"/>
        </w:rPr>
        <w:t>4</w:t>
      </w:r>
      <w:r w:rsidRPr="00C02CA6">
        <w:rPr>
          <w:noProof/>
          <w:lang w:val="en-US"/>
        </w:rPr>
        <w:t>O</w:t>
      </w:r>
      <w:r w:rsidRPr="00C02CA6">
        <w:rPr>
          <w:noProof/>
          <w:vertAlign w:val="subscript"/>
          <w:lang w:val="en-US"/>
        </w:rPr>
        <w:t>6</w:t>
      </w:r>
      <w:r w:rsidRPr="00C02CA6">
        <w:rPr>
          <w:noProof/>
          <w:vertAlign w:val="superscript"/>
          <w:lang w:val="en-US"/>
        </w:rPr>
        <w:t>2-</w:t>
      </w:r>
      <w:r w:rsidRPr="00C02CA6">
        <w:rPr>
          <w:noProof/>
          <w:vertAlign w:val="subscript"/>
          <w:lang w:val="en-US"/>
        </w:rPr>
        <w:t>(aq)</w:t>
      </w:r>
      <w:r>
        <w:rPr>
          <w:noProof/>
          <w:lang w:val="en-US"/>
        </w:rPr>
        <w:t xml:space="preserve"> + 2 I</w:t>
      </w:r>
      <w:r w:rsidRPr="00C02CA6">
        <w:rPr>
          <w:noProof/>
          <w:vertAlign w:val="superscript"/>
          <w:lang w:val="en-US"/>
        </w:rPr>
        <w:t>-</w:t>
      </w:r>
      <w:r w:rsidRPr="00C02CA6">
        <w:rPr>
          <w:noProof/>
          <w:vertAlign w:val="subscript"/>
          <w:lang w:val="en-US"/>
        </w:rPr>
        <w:t>(aq)</w:t>
      </w:r>
      <w:r w:rsidR="003F4E9C">
        <w:rPr>
          <w:noProof/>
          <w:lang w:val="en-US"/>
        </w:rPr>
        <w:tab/>
      </w:r>
      <w:r w:rsidR="003F4E9C">
        <w:rPr>
          <w:noProof/>
          <w:lang w:val="en-US"/>
        </w:rPr>
        <w:tab/>
      </w:r>
      <w:r w:rsidR="003F4E9C">
        <w:rPr>
          <w:noProof/>
          <w:lang w:val="en-US"/>
        </w:rPr>
        <w:tab/>
      </w:r>
      <w:r w:rsidR="003F4E9C">
        <w:rPr>
          <w:noProof/>
          <w:lang w:val="en-US"/>
        </w:rPr>
        <w:tab/>
        <w:t>(2)</w:t>
      </w:r>
    </w:p>
    <w:p w:rsidR="003F4E9C" w:rsidRDefault="003F4E9C" w:rsidP="003475A1">
      <w:pPr>
        <w:tabs>
          <w:tab w:val="left" w:pos="1701"/>
          <w:tab w:val="left" w:pos="1985"/>
        </w:tabs>
        <w:ind w:left="2124" w:firstLine="3"/>
        <w:rPr>
          <w:noProof/>
        </w:rPr>
      </w:pPr>
      <w:r w:rsidRPr="003F4E9C">
        <w:rPr>
          <w:noProof/>
        </w:rPr>
        <w:t>Aus der Reaktionsgleichung (2) ist n</w:t>
      </w:r>
      <w:r>
        <w:rPr>
          <w:noProof/>
        </w:rPr>
        <w:t xml:space="preserve">un das Stoffmengenverhältnis von Iod zu Thiosulfat ersichtlich. Es ist: </w:t>
      </w:r>
    </w:p>
    <w:p w:rsidR="003F4E9C" w:rsidRDefault="003F4E9C" w:rsidP="003475A1">
      <w:pPr>
        <w:tabs>
          <w:tab w:val="left" w:pos="1701"/>
          <w:tab w:val="left" w:pos="1985"/>
        </w:tabs>
        <w:ind w:left="2124" w:firstLine="3"/>
        <w:rPr>
          <w:noProof/>
        </w:rPr>
      </w:pPr>
      <w:r w:rsidRPr="003F4E9C">
        <w:rPr>
          <w:noProof/>
        </w:rPr>
        <w:t>n(I</w:t>
      </w:r>
      <w:r w:rsidRPr="003F4E9C">
        <w:rPr>
          <w:noProof/>
          <w:vertAlign w:val="subscript"/>
        </w:rPr>
        <w:t>2</w:t>
      </w:r>
      <w:r w:rsidRPr="003F4E9C">
        <w:rPr>
          <w:noProof/>
        </w:rPr>
        <w:t>) : n(S</w:t>
      </w:r>
      <w:r w:rsidRPr="003F4E9C">
        <w:rPr>
          <w:noProof/>
          <w:vertAlign w:val="subscript"/>
        </w:rPr>
        <w:t>2</w:t>
      </w:r>
      <w:r w:rsidRPr="003F4E9C">
        <w:rPr>
          <w:noProof/>
        </w:rPr>
        <w:t>O</w:t>
      </w:r>
      <w:r w:rsidRPr="003F4E9C">
        <w:rPr>
          <w:noProof/>
          <w:vertAlign w:val="subscript"/>
        </w:rPr>
        <w:t>3</w:t>
      </w:r>
      <w:r w:rsidRPr="003F4E9C">
        <w:rPr>
          <w:noProof/>
          <w:vertAlign w:val="superscript"/>
        </w:rPr>
        <w:t>2-</w:t>
      </w:r>
      <w:r w:rsidRPr="003F4E9C">
        <w:rPr>
          <w:noProof/>
        </w:rPr>
        <w:t xml:space="preserve">) = 1:2, </w:t>
      </w:r>
      <w:r>
        <w:rPr>
          <w:noProof/>
        </w:rPr>
        <w:t xml:space="preserve">m </w:t>
      </w:r>
      <w:r w:rsidRPr="003F4E9C">
        <w:rPr>
          <w:noProof/>
        </w:rPr>
        <w:t xml:space="preserve">d.h. 1 mL Thioslufatlösung zeigt </w:t>
      </w:r>
      <w:r>
        <w:rPr>
          <w:noProof/>
        </w:rPr>
        <w:t>0,5 mL unverbrauchte Iod-Lösung an. Nun können Berechnungen zum Sulfitgehalt im Weißwein folgen:</w:t>
      </w:r>
    </w:p>
    <w:p w:rsidR="003F4E9C" w:rsidRPr="00F67FFD" w:rsidRDefault="003F4E9C" w:rsidP="003475A1">
      <w:pPr>
        <w:tabs>
          <w:tab w:val="left" w:pos="1701"/>
          <w:tab w:val="left" w:pos="1985"/>
        </w:tabs>
        <w:ind w:left="2124" w:firstLine="3"/>
        <w:rPr>
          <w:noProof/>
        </w:rPr>
      </w:pPr>
      <w:r w:rsidRPr="00F67FFD">
        <w:rPr>
          <w:noProof/>
        </w:rPr>
        <w:t>V(S</w:t>
      </w:r>
      <w:r w:rsidRPr="00F67FFD">
        <w:rPr>
          <w:noProof/>
          <w:vertAlign w:val="subscript"/>
        </w:rPr>
        <w:t>2</w:t>
      </w:r>
      <w:r w:rsidRPr="00F67FFD">
        <w:rPr>
          <w:noProof/>
        </w:rPr>
        <w:t>O</w:t>
      </w:r>
      <w:r w:rsidRPr="00F67FFD">
        <w:rPr>
          <w:noProof/>
          <w:vertAlign w:val="subscript"/>
        </w:rPr>
        <w:t>3</w:t>
      </w:r>
      <w:r w:rsidRPr="00F67FFD">
        <w:rPr>
          <w:noProof/>
          <w:vertAlign w:val="superscript"/>
        </w:rPr>
        <w:t>2-</w:t>
      </w:r>
      <w:r w:rsidRPr="00F67FFD">
        <w:rPr>
          <w:noProof/>
        </w:rPr>
        <w:t>)= 9,5 mL, also V(I</w:t>
      </w:r>
      <w:r w:rsidRPr="00F67FFD">
        <w:rPr>
          <w:noProof/>
          <w:vertAlign w:val="subscript"/>
        </w:rPr>
        <w:t>2</w:t>
      </w:r>
      <w:r w:rsidRPr="00F67FFD">
        <w:rPr>
          <w:noProof/>
        </w:rPr>
        <w:t xml:space="preserve">)= 4,75 mL </w:t>
      </w:r>
    </w:p>
    <w:p w:rsidR="003F4E9C" w:rsidRDefault="000F06DC" w:rsidP="003475A1">
      <w:pPr>
        <w:tabs>
          <w:tab w:val="left" w:pos="1701"/>
          <w:tab w:val="left" w:pos="1985"/>
        </w:tabs>
        <w:ind w:left="2124" w:firstLine="3"/>
        <w:rPr>
          <w:noProof/>
        </w:rPr>
      </w:pPr>
      <w:r>
        <w:rPr>
          <w:noProof/>
        </w:rPr>
        <w:t>Verbra</w:t>
      </w:r>
      <w:r w:rsidR="003F4E9C" w:rsidRPr="003F4E9C">
        <w:rPr>
          <w:noProof/>
        </w:rPr>
        <w:t>u</w:t>
      </w:r>
      <w:r>
        <w:rPr>
          <w:noProof/>
        </w:rPr>
        <w:t>c</w:t>
      </w:r>
      <w:r w:rsidR="003F4E9C" w:rsidRPr="003F4E9C">
        <w:rPr>
          <w:noProof/>
        </w:rPr>
        <w:t>h der Iodlösung für d</w:t>
      </w:r>
      <w:r w:rsidR="003F4E9C">
        <w:rPr>
          <w:noProof/>
        </w:rPr>
        <w:t>ie Oxidation von Sulfit zu Sulfat:</w:t>
      </w:r>
    </w:p>
    <w:p w:rsidR="003F4E9C" w:rsidRDefault="003F4E9C" w:rsidP="003475A1">
      <w:pPr>
        <w:tabs>
          <w:tab w:val="left" w:pos="1701"/>
          <w:tab w:val="left" w:pos="1985"/>
        </w:tabs>
        <w:ind w:left="2124" w:firstLine="3"/>
        <w:rPr>
          <w:rFonts w:eastAsiaTheme="minorEastAsia"/>
          <w:noProof/>
        </w:rPr>
      </w:pPr>
      <m:oMath>
        <m:r>
          <w:rPr>
            <w:rFonts w:ascii="Cambria Math" w:hAnsi="Cambria Math"/>
            <w:noProof/>
          </w:rPr>
          <m:t xml:space="preserve">10 </m:t>
        </m:r>
        <m:r>
          <m:rPr>
            <m:sty m:val="p"/>
          </m:rPr>
          <w:rPr>
            <w:rFonts w:ascii="Cambria Math" w:hAnsi="Cambria Math"/>
            <w:noProof/>
          </w:rPr>
          <m:t>mL</m:t>
        </m:r>
        <m:r>
          <w:rPr>
            <w:rFonts w:ascii="Cambria Math" w:hAnsi="Cambria Math"/>
            <w:noProof/>
          </w:rPr>
          <m:t xml:space="preserve">-4,75 </m:t>
        </m:r>
        <m:r>
          <m:rPr>
            <m:sty m:val="p"/>
          </m:rPr>
          <w:rPr>
            <w:rFonts w:ascii="Cambria Math" w:hAnsi="Cambria Math"/>
            <w:noProof/>
          </w:rPr>
          <m:t>mL</m:t>
        </m:r>
        <m:r>
          <w:rPr>
            <w:rFonts w:ascii="Cambria Math" w:hAnsi="Cambria Math"/>
            <w:noProof/>
          </w:rPr>
          <m:t xml:space="preserve">=5,25 </m:t>
        </m:r>
        <m:r>
          <m:rPr>
            <m:sty m:val="p"/>
          </m:rPr>
          <w:rPr>
            <w:rFonts w:ascii="Cambria Math" w:hAnsi="Cambria Math"/>
            <w:noProof/>
          </w:rPr>
          <m:t>mL</m:t>
        </m:r>
      </m:oMath>
      <w:r w:rsidR="007318CA">
        <w:rPr>
          <w:rFonts w:eastAsiaTheme="minorEastAsia"/>
          <w:noProof/>
        </w:rPr>
        <w:t>. Die 10 mL sind</w:t>
      </w:r>
      <w:r w:rsidR="0056694B">
        <w:rPr>
          <w:rFonts w:eastAsiaTheme="minorEastAsia"/>
          <w:noProof/>
        </w:rPr>
        <w:t xml:space="preserve"> das Gesamtvolumen der eingesetzten Iodlösung. </w:t>
      </w:r>
    </w:p>
    <w:p w:rsidR="0056694B" w:rsidRPr="000F06DC" w:rsidRDefault="0056694B" w:rsidP="003475A1">
      <w:pPr>
        <w:tabs>
          <w:tab w:val="left" w:pos="1701"/>
          <w:tab w:val="left" w:pos="1985"/>
        </w:tabs>
        <w:ind w:left="2124" w:firstLine="3"/>
        <w:rPr>
          <w:rFonts w:eastAsiaTheme="minorEastAsia"/>
          <w:noProof/>
        </w:rPr>
      </w:pPr>
      <m:oMathPara>
        <m:oMath>
          <m:r>
            <w:rPr>
              <w:rFonts w:ascii="Cambria Math" w:hAnsi="Cambria Math"/>
              <w:noProof/>
            </w:rPr>
            <m:t>n</m:t>
          </m:r>
          <m:d>
            <m:dPr>
              <m:ctrlPr>
                <w:rPr>
                  <w:rFonts w:ascii="Cambria Math" w:hAnsi="Cambria Math"/>
                  <w:i/>
                  <w:noProof/>
                </w:rPr>
              </m:ctrlPr>
            </m:dPr>
            <m:e>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2 Verbrauch</m:t>
                  </m:r>
                </m:sub>
              </m:sSub>
            </m:e>
          </m:d>
          <m:r>
            <w:rPr>
              <w:rFonts w:ascii="Cambria Math" w:hAnsi="Cambria Math"/>
              <w:noProof/>
            </w:rPr>
            <m:t xml:space="preserve">=c∙V=0,05 </m:t>
          </m:r>
          <m:f>
            <m:fPr>
              <m:ctrlPr>
                <w:rPr>
                  <w:rFonts w:ascii="Cambria Math" w:hAnsi="Cambria Math"/>
                  <w:noProof/>
                </w:rPr>
              </m:ctrlPr>
            </m:fPr>
            <m:num>
              <m:r>
                <m:rPr>
                  <m:sty m:val="p"/>
                </m:rPr>
                <w:rPr>
                  <w:rFonts w:ascii="Cambria Math" w:hAnsi="Cambria Math"/>
                  <w:noProof/>
                </w:rPr>
                <m:t>mol</m:t>
              </m:r>
            </m:num>
            <m:den>
              <m:r>
                <m:rPr>
                  <m:sty m:val="p"/>
                </m:rPr>
                <w:rPr>
                  <w:rFonts w:ascii="Cambria Math" w:hAnsi="Cambria Math"/>
                  <w:noProof/>
                </w:rPr>
                <m:t>L</m:t>
              </m:r>
            </m:den>
          </m:f>
          <m:r>
            <w:rPr>
              <w:rFonts w:ascii="Cambria Math" w:hAnsi="Cambria Math"/>
              <w:noProof/>
            </w:rPr>
            <m:t>∙5,25∙</m:t>
          </m:r>
          <m:sSup>
            <m:sSupPr>
              <m:ctrlPr>
                <w:rPr>
                  <w:rFonts w:ascii="Cambria Math" w:hAnsi="Cambria Math"/>
                  <w:i/>
                  <w:noProof/>
                </w:rPr>
              </m:ctrlPr>
            </m:sSupPr>
            <m:e>
              <m:r>
                <w:rPr>
                  <w:rFonts w:ascii="Cambria Math" w:hAnsi="Cambria Math"/>
                  <w:noProof/>
                </w:rPr>
                <m:t>10</m:t>
              </m:r>
            </m:e>
            <m:sup>
              <m:r>
                <w:rPr>
                  <w:rFonts w:ascii="Cambria Math" w:hAnsi="Cambria Math"/>
                  <w:noProof/>
                </w:rPr>
                <m:t>-3</m:t>
              </m:r>
            </m:sup>
          </m:sSup>
          <m:r>
            <m:rPr>
              <m:sty m:val="p"/>
            </m:rPr>
            <w:rPr>
              <w:rFonts w:ascii="Cambria Math" w:hAnsi="Cambria Math"/>
              <w:noProof/>
            </w:rPr>
            <m:t>L=2,625∙</m:t>
          </m:r>
          <m:sSup>
            <m:sSupPr>
              <m:ctrlPr>
                <w:rPr>
                  <w:rFonts w:ascii="Cambria Math" w:hAnsi="Cambria Math"/>
                  <w:noProof/>
                </w:rPr>
              </m:ctrlPr>
            </m:sSupPr>
            <m:e>
              <m:r>
                <m:rPr>
                  <m:sty m:val="p"/>
                </m:rPr>
                <w:rPr>
                  <w:rFonts w:ascii="Cambria Math" w:hAnsi="Cambria Math"/>
                  <w:noProof/>
                </w:rPr>
                <m:t>10</m:t>
              </m:r>
            </m:e>
            <m:sup>
              <m:r>
                <m:rPr>
                  <m:sty m:val="p"/>
                </m:rPr>
                <w:rPr>
                  <w:rFonts w:ascii="Cambria Math" w:hAnsi="Cambria Math"/>
                  <w:noProof/>
                </w:rPr>
                <m:t>-4</m:t>
              </m:r>
            </m:sup>
          </m:sSup>
          <m:r>
            <m:rPr>
              <m:sty m:val="p"/>
            </m:rPr>
            <w:rPr>
              <w:rFonts w:ascii="Cambria Math" w:hAnsi="Cambria Math"/>
              <w:noProof/>
            </w:rPr>
            <m:t xml:space="preserve">mol </m:t>
          </m:r>
        </m:oMath>
      </m:oMathPara>
    </w:p>
    <w:p w:rsidR="008B3865" w:rsidRDefault="0056694B" w:rsidP="00160F4A">
      <w:pPr>
        <w:spacing w:line="276" w:lineRule="auto"/>
        <w:ind w:left="2268"/>
        <w:rPr>
          <w:rFonts w:eastAsiaTheme="minorEastAsia"/>
          <w:noProof/>
        </w:rPr>
      </w:pPr>
      <w:r>
        <w:rPr>
          <w:rFonts w:eastAsiaTheme="minorEastAsia"/>
          <w:noProof/>
        </w:rPr>
        <w:t xml:space="preserve">Aus der Reaktionsgleichung (1) ist es möglich das Stoffmengenverhältnis von Iod zu Sulfit abzulesen, dies ist </w:t>
      </w:r>
    </w:p>
    <w:p w:rsidR="008B3865" w:rsidRPr="008B3865" w:rsidRDefault="008B3865" w:rsidP="00160F4A">
      <w:pPr>
        <w:spacing w:line="276" w:lineRule="auto"/>
        <w:ind w:left="2268"/>
        <w:rPr>
          <w:oMath/>
          <w:rFonts w:ascii="Cambria Math" w:eastAsiaTheme="minorEastAsia" w:hAnsi="Cambria Math"/>
          <w:noProof/>
        </w:rPr>
      </w:pPr>
      <m:oMathPara>
        <m:oMath>
          <m:r>
            <w:rPr>
              <w:rFonts w:ascii="Cambria Math" w:eastAsiaTheme="minorEastAsia" w:hAnsi="Cambria Math"/>
              <w:noProof/>
            </w:rPr>
            <m:t>n(</m:t>
          </m:r>
          <m:sSub>
            <m:sSubPr>
              <m:ctrlPr>
                <w:rPr>
                  <w:rFonts w:ascii="Cambria Math" w:eastAsiaTheme="minorEastAsia" w:hAnsi="Cambria Math"/>
                  <w:i/>
                  <w:noProof/>
                  <w:vertAlign w:val="subscript"/>
                </w:rPr>
              </m:ctrlPr>
            </m:sSubPr>
            <m:e>
              <m:r>
                <w:rPr>
                  <w:rFonts w:ascii="Cambria Math" w:eastAsiaTheme="minorEastAsia" w:hAnsi="Cambria Math"/>
                  <w:noProof/>
                  <w:vertAlign w:val="subscript"/>
                </w:rPr>
                <m:t>I</m:t>
              </m:r>
            </m:e>
            <m:sub>
              <m:r>
                <w:rPr>
                  <w:rFonts w:ascii="Cambria Math" w:eastAsiaTheme="minorEastAsia" w:hAnsi="Cambria Math"/>
                  <w:noProof/>
                  <w:vertAlign w:val="subscript"/>
                </w:rPr>
                <m:t>2</m:t>
              </m:r>
            </m:sub>
          </m:sSub>
          <m:r>
            <w:rPr>
              <w:rFonts w:ascii="Cambria Math" w:eastAsiaTheme="minorEastAsia" w:hAnsi="Cambria Math"/>
              <w:noProof/>
            </w:rPr>
            <m:t>): n(</m:t>
          </m:r>
          <m:sSubSup>
            <m:sSubSupPr>
              <m:ctrlPr>
                <w:rPr>
                  <w:rFonts w:ascii="Cambria Math" w:eastAsiaTheme="minorEastAsia" w:hAnsi="Cambria Math"/>
                  <w:i/>
                  <w:noProof/>
                </w:rPr>
              </m:ctrlPr>
            </m:sSubSupPr>
            <m:e>
              <m:r>
                <w:rPr>
                  <w:rFonts w:ascii="Cambria Math" w:eastAsiaTheme="minorEastAsia" w:hAnsi="Cambria Math"/>
                  <w:noProof/>
                </w:rPr>
                <m:t>SO</m:t>
              </m:r>
            </m:e>
            <m:sub>
              <m:r>
                <w:rPr>
                  <w:rFonts w:ascii="Cambria Math" w:eastAsiaTheme="minorEastAsia" w:hAnsi="Cambria Math"/>
                  <w:noProof/>
                </w:rPr>
                <m:t>3</m:t>
              </m:r>
            </m:sub>
            <m:sup>
              <m:r>
                <w:rPr>
                  <w:rFonts w:ascii="Cambria Math" w:eastAsiaTheme="minorEastAsia" w:hAnsi="Cambria Math"/>
                  <w:noProof/>
                </w:rPr>
                <m:t>2-</m:t>
              </m:r>
            </m:sup>
          </m:sSubSup>
          <m:r>
            <w:rPr>
              <w:rFonts w:ascii="Cambria Math" w:eastAsiaTheme="minorEastAsia" w:hAnsi="Cambria Math"/>
              <w:noProof/>
            </w:rPr>
            <m:t>) = 1:1,</m:t>
          </m:r>
        </m:oMath>
      </m:oMathPara>
    </w:p>
    <w:p w:rsidR="0056694B" w:rsidRDefault="0056694B" w:rsidP="00160F4A">
      <w:pPr>
        <w:spacing w:line="276" w:lineRule="auto"/>
        <w:ind w:left="2268"/>
        <w:rPr>
          <w:rFonts w:eastAsiaTheme="minorEastAsia"/>
          <w:noProof/>
        </w:rPr>
      </w:pPr>
      <w:r>
        <w:rPr>
          <w:rFonts w:eastAsiaTheme="minorEastAsia"/>
          <w:noProof/>
        </w:rPr>
        <w:t xml:space="preserve"> d.h. in der Probe </w:t>
      </w:r>
      <w:r w:rsidR="00160F4A">
        <w:rPr>
          <w:rFonts w:eastAsiaTheme="minorEastAsia"/>
          <w:noProof/>
        </w:rPr>
        <w:t>w</w:t>
      </w:r>
      <w:r>
        <w:rPr>
          <w:rFonts w:eastAsiaTheme="minorEastAsia"/>
          <w:noProof/>
        </w:rPr>
        <w:t xml:space="preserve">aren </w:t>
      </w:r>
      <m:oMath>
        <m:r>
          <m:rPr>
            <m:sty m:val="p"/>
          </m:rPr>
          <w:rPr>
            <w:rFonts w:ascii="Cambria Math" w:hAnsi="Cambria Math"/>
            <w:noProof/>
          </w:rPr>
          <m:t>2,625∙</m:t>
        </m:r>
        <m:sSup>
          <m:sSupPr>
            <m:ctrlPr>
              <w:rPr>
                <w:rFonts w:ascii="Cambria Math" w:hAnsi="Cambria Math"/>
                <w:noProof/>
              </w:rPr>
            </m:ctrlPr>
          </m:sSupPr>
          <m:e>
            <m:r>
              <m:rPr>
                <m:sty m:val="p"/>
              </m:rPr>
              <w:rPr>
                <w:rFonts w:ascii="Cambria Math" w:hAnsi="Cambria Math"/>
                <w:noProof/>
              </w:rPr>
              <m:t>10</m:t>
            </m:r>
          </m:e>
          <m:sup>
            <m:r>
              <m:rPr>
                <m:sty m:val="p"/>
              </m:rPr>
              <w:rPr>
                <w:rFonts w:ascii="Cambria Math" w:hAnsi="Cambria Math"/>
                <w:noProof/>
              </w:rPr>
              <m:t>-4</m:t>
            </m:r>
          </m:sup>
        </m:sSup>
        <m:r>
          <m:rPr>
            <m:sty m:val="p"/>
          </m:rPr>
          <w:rPr>
            <w:rFonts w:ascii="Cambria Math" w:hAnsi="Cambria Math"/>
            <w:noProof/>
          </w:rPr>
          <m:t>mol</m:t>
        </m:r>
      </m:oMath>
      <w:r>
        <w:rPr>
          <w:rFonts w:eastAsiaTheme="minorEastAsia"/>
          <w:noProof/>
        </w:rPr>
        <w:t xml:space="preserve"> Sulfitionen enthalten.</w:t>
      </w:r>
      <w:r w:rsidR="005F17E5">
        <w:rPr>
          <w:rFonts w:eastAsiaTheme="minorEastAsia"/>
          <w:noProof/>
        </w:rPr>
        <w:t xml:space="preserve"> Letztendlich kann nun die Konzentration der Sulfitionen berechnet werden und mit den Höchstmengenangaben verglichen werden.</w:t>
      </w:r>
      <w:r w:rsidR="00160F4A">
        <w:rPr>
          <w:rFonts w:eastAsiaTheme="minorEastAsia"/>
          <w:noProof/>
        </w:rPr>
        <w:t xml:space="preserve"> Dabei ist zu beachten, dass Iod nicht nur das im Wein enthaltene Sulfit oxidiert, sondern auch den enthaltenen Zucker genauso wie d</w:t>
      </w:r>
      <w:r w:rsidR="005E0499">
        <w:rPr>
          <w:rFonts w:eastAsiaTheme="minorEastAsia"/>
          <w:noProof/>
        </w:rPr>
        <w:t>as Ethanol zu Ethanal.</w:t>
      </w:r>
      <w:r w:rsidR="00033D77">
        <w:rPr>
          <w:rFonts w:eastAsiaTheme="minorEastAsia"/>
          <w:noProof/>
        </w:rPr>
        <w:t xml:space="preserve"> </w:t>
      </w:r>
      <w:r w:rsidR="005E0499">
        <w:rPr>
          <w:rFonts w:eastAsiaTheme="minorEastAsia"/>
          <w:noProof/>
        </w:rPr>
        <w:t xml:space="preserve">Die Sulfite werden dem Wein beigemischt um diese Oxidation des Alkohols zu verhindern und den Wein dadurch länger haltbar zu machen. </w:t>
      </w:r>
      <w:r w:rsidR="00033D77">
        <w:rPr>
          <w:rFonts w:eastAsiaTheme="minorEastAsia"/>
          <w:noProof/>
        </w:rPr>
        <w:t>Wird das Sulfit nun oxidiert, wird die Oxidation des Alkohols nicht mehr gehemmt und durch das überschüssige Iod geschehen.</w:t>
      </w:r>
    </w:p>
    <w:p w:rsidR="005F17E5" w:rsidRPr="000F06DC" w:rsidRDefault="0095746E" w:rsidP="003475A1">
      <w:pPr>
        <w:spacing w:line="276" w:lineRule="auto"/>
        <w:rPr>
          <w:rFonts w:eastAsiaTheme="minorEastAsia"/>
          <w:noProof/>
          <w:lang w:val="en-US"/>
        </w:rPr>
      </w:pPr>
      <w:r>
        <w:rPr>
          <w:rFonts w:eastAsiaTheme="minorEastAsia"/>
          <w:noProof/>
        </w:rPr>
        <w:tab/>
      </w:r>
      <w:r>
        <w:rPr>
          <w:rFonts w:eastAsiaTheme="minorEastAsia"/>
          <w:noProof/>
        </w:rPr>
        <w:tab/>
      </w:r>
      <w:r>
        <w:rPr>
          <w:rFonts w:eastAsiaTheme="minorEastAsia"/>
          <w:noProof/>
        </w:rPr>
        <w:tab/>
      </w:r>
      <m:oMath>
        <m:r>
          <w:rPr>
            <w:rFonts w:ascii="Cambria Math" w:eastAsiaTheme="minorEastAsia" w:hAnsi="Cambria Math"/>
            <w:noProof/>
          </w:rPr>
          <m:t>c</m:t>
        </m:r>
        <m:d>
          <m:dPr>
            <m:ctrlPr>
              <w:rPr>
                <w:rFonts w:ascii="Cambria Math" w:eastAsiaTheme="minorEastAsia" w:hAnsi="Cambria Math"/>
                <w:i/>
                <w:noProof/>
              </w:rPr>
            </m:ctrlPr>
          </m:dPr>
          <m:e>
            <m:sSup>
              <m:sSupPr>
                <m:ctrlPr>
                  <w:rPr>
                    <w:rFonts w:ascii="Cambria Math" w:hAnsi="Cambria Math"/>
                    <w:noProof/>
                    <w:lang w:val="en-US"/>
                  </w:rPr>
                </m:ctrlPr>
              </m:sSupPr>
              <m:e>
                <m:sSub>
                  <m:sSubPr>
                    <m:ctrlPr>
                      <w:rPr>
                        <w:rFonts w:ascii="Cambria Math" w:hAnsi="Cambria Math"/>
                        <w:noProof/>
                        <w:lang w:val="en-US"/>
                      </w:rPr>
                    </m:ctrlPr>
                  </m:sSubPr>
                  <m:e>
                    <m:r>
                      <m:rPr>
                        <m:sty m:val="p"/>
                      </m:rPr>
                      <w:rPr>
                        <w:rFonts w:ascii="Cambria Math" w:hAnsi="Cambria Math"/>
                        <w:noProof/>
                        <w:lang w:val="en-US"/>
                      </w:rPr>
                      <m:t>SO</m:t>
                    </m:r>
                  </m:e>
                  <m:sub>
                    <m:r>
                      <m:rPr>
                        <m:sty m:val="p"/>
                      </m:rPr>
                      <w:rPr>
                        <w:rFonts w:ascii="Cambria Math" w:hAnsi="Cambria Math"/>
                        <w:noProof/>
                        <w:lang w:val="en-US"/>
                      </w:rPr>
                      <m:t>3</m:t>
                    </m:r>
                  </m:sub>
                </m:sSub>
              </m:e>
              <m:sup>
                <m:r>
                  <m:rPr>
                    <m:sty m:val="p"/>
                  </m:rPr>
                  <w:rPr>
                    <w:rFonts w:ascii="Cambria Math" w:hAnsi="Cambria Math"/>
                    <w:noProof/>
                    <w:lang w:val="en-US"/>
                  </w:rPr>
                  <m:t>2-</m:t>
                </m:r>
              </m:sup>
            </m:sSup>
            <m:ctrlPr>
              <w:rPr>
                <w:rFonts w:ascii="Cambria Math" w:hAnsi="Cambria Math"/>
                <w:noProof/>
                <w:lang w:val="en-US"/>
              </w:rPr>
            </m:ctrlPr>
          </m:e>
        </m:d>
        <m:r>
          <m:rPr>
            <m:sty m:val="p"/>
          </m:rPr>
          <w:rPr>
            <w:rFonts w:ascii="Cambria Math" w:hAnsi="Cambria Math"/>
            <w:noProof/>
            <w:lang w:val="en-US"/>
          </w:rPr>
          <m:t xml:space="preserve">= </m:t>
        </m:r>
        <m:f>
          <m:fPr>
            <m:ctrlPr>
              <w:rPr>
                <w:rFonts w:ascii="Cambria Math" w:hAnsi="Cambria Math"/>
                <w:i/>
                <w:noProof/>
                <w:lang w:val="en-US"/>
              </w:rPr>
            </m:ctrlPr>
          </m:fPr>
          <m:num>
            <m:r>
              <w:rPr>
                <w:rFonts w:ascii="Cambria Math" w:hAnsi="Cambria Math"/>
                <w:noProof/>
                <w:lang w:val="en-US"/>
              </w:rPr>
              <m:t>n</m:t>
            </m:r>
          </m:num>
          <m:den>
            <m:r>
              <w:rPr>
                <w:rFonts w:ascii="Cambria Math" w:hAnsi="Cambria Math"/>
                <w:noProof/>
                <w:lang w:val="en-US"/>
              </w:rPr>
              <m:t>V</m:t>
            </m:r>
          </m:den>
        </m:f>
        <m:r>
          <w:rPr>
            <w:rFonts w:ascii="Cambria Math" w:hAnsi="Cambria Math"/>
            <w:noProof/>
            <w:lang w:val="en-US"/>
          </w:rPr>
          <m:t>=</m:t>
        </m:r>
        <m:f>
          <m:fPr>
            <m:ctrlPr>
              <w:rPr>
                <w:rFonts w:ascii="Cambria Math" w:hAnsi="Cambria Math"/>
                <w:i/>
                <w:noProof/>
                <w:lang w:val="en-US"/>
              </w:rPr>
            </m:ctrlPr>
          </m:fPr>
          <m:num>
            <m:r>
              <m:rPr>
                <m:sty m:val="p"/>
              </m:rPr>
              <w:rPr>
                <w:rFonts w:ascii="Cambria Math" w:hAnsi="Cambria Math"/>
                <w:noProof/>
              </w:rPr>
              <m:t>2,625∙</m:t>
            </m:r>
            <m:sSup>
              <m:sSupPr>
                <m:ctrlPr>
                  <w:rPr>
                    <w:rFonts w:ascii="Cambria Math" w:hAnsi="Cambria Math"/>
                    <w:noProof/>
                  </w:rPr>
                </m:ctrlPr>
              </m:sSupPr>
              <m:e>
                <m:r>
                  <m:rPr>
                    <m:sty m:val="p"/>
                  </m:rPr>
                  <w:rPr>
                    <w:rFonts w:ascii="Cambria Math" w:hAnsi="Cambria Math"/>
                    <w:noProof/>
                  </w:rPr>
                  <m:t>10</m:t>
                </m:r>
              </m:e>
              <m:sup>
                <m:r>
                  <m:rPr>
                    <m:sty m:val="p"/>
                  </m:rPr>
                  <w:rPr>
                    <w:rFonts w:ascii="Cambria Math" w:hAnsi="Cambria Math"/>
                    <w:noProof/>
                  </w:rPr>
                  <m:t>-4</m:t>
                </m:r>
              </m:sup>
            </m:sSup>
            <m:r>
              <m:rPr>
                <m:sty m:val="p"/>
              </m:rPr>
              <w:rPr>
                <w:rFonts w:ascii="Cambria Math" w:hAnsi="Cambria Math"/>
                <w:noProof/>
              </w:rPr>
              <m:t xml:space="preserve">mol </m:t>
            </m:r>
          </m:num>
          <m:den>
            <m:r>
              <w:rPr>
                <w:rFonts w:ascii="Cambria Math" w:hAnsi="Cambria Math"/>
                <w:noProof/>
                <w:lang w:val="en-US"/>
              </w:rPr>
              <m:t xml:space="preserve">0,05 </m:t>
            </m:r>
            <m:r>
              <m:rPr>
                <m:sty m:val="p"/>
              </m:rPr>
              <w:rPr>
                <w:rFonts w:ascii="Cambria Math" w:hAnsi="Cambria Math"/>
                <w:noProof/>
                <w:lang w:val="en-US"/>
              </w:rPr>
              <m:t>L</m:t>
            </m:r>
          </m:den>
        </m:f>
        <m:r>
          <w:rPr>
            <w:rFonts w:ascii="Cambria Math" w:hAnsi="Cambria Math"/>
            <w:noProof/>
            <w:lang w:val="en-US"/>
          </w:rPr>
          <m:t>=5,25 ∙</m:t>
        </m:r>
        <m:sSup>
          <m:sSupPr>
            <m:ctrlPr>
              <w:rPr>
                <w:rFonts w:ascii="Cambria Math" w:hAnsi="Cambria Math"/>
                <w:i/>
                <w:noProof/>
                <w:lang w:val="en-US"/>
              </w:rPr>
            </m:ctrlPr>
          </m:sSupPr>
          <m:e>
            <m:r>
              <w:rPr>
                <w:rFonts w:ascii="Cambria Math" w:hAnsi="Cambria Math"/>
                <w:noProof/>
                <w:lang w:val="en-US"/>
              </w:rPr>
              <m:t>10</m:t>
            </m:r>
          </m:e>
          <m:sup>
            <m:r>
              <w:rPr>
                <w:rFonts w:ascii="Cambria Math" w:hAnsi="Cambria Math"/>
                <w:noProof/>
                <w:lang w:val="en-US"/>
              </w:rPr>
              <m:t>-3</m:t>
            </m:r>
          </m:sup>
        </m:sSup>
        <m:f>
          <m:fPr>
            <m:ctrlPr>
              <w:rPr>
                <w:rFonts w:ascii="Cambria Math" w:hAnsi="Cambria Math"/>
                <w:noProof/>
                <w:lang w:val="en-US"/>
              </w:rPr>
            </m:ctrlPr>
          </m:fPr>
          <m:num>
            <m:r>
              <m:rPr>
                <m:sty m:val="p"/>
              </m:rPr>
              <w:rPr>
                <w:rFonts w:ascii="Cambria Math" w:hAnsi="Cambria Math"/>
                <w:noProof/>
                <w:lang w:val="en-US"/>
              </w:rPr>
              <m:t>mol</m:t>
            </m:r>
          </m:num>
          <m:den>
            <m:r>
              <m:rPr>
                <m:sty m:val="p"/>
              </m:rPr>
              <w:rPr>
                <w:rFonts w:ascii="Cambria Math" w:hAnsi="Cambria Math"/>
                <w:noProof/>
                <w:lang w:val="en-US"/>
              </w:rPr>
              <m:t>L</m:t>
            </m:r>
          </m:den>
        </m:f>
        <m:r>
          <m:rPr>
            <m:sty m:val="p"/>
          </m:rPr>
          <w:rPr>
            <w:rFonts w:ascii="Cambria Math" w:hAnsi="Cambria Math"/>
            <w:noProof/>
            <w:lang w:val="en-US"/>
          </w:rPr>
          <m:t xml:space="preserve">=5,25 </m:t>
        </m:r>
        <m:f>
          <m:fPr>
            <m:ctrlPr>
              <w:rPr>
                <w:rFonts w:ascii="Cambria Math" w:hAnsi="Cambria Math"/>
                <w:noProof/>
                <w:lang w:val="en-US"/>
              </w:rPr>
            </m:ctrlPr>
          </m:fPr>
          <m:num>
            <m:r>
              <m:rPr>
                <m:sty m:val="p"/>
              </m:rPr>
              <w:rPr>
                <w:rFonts w:ascii="Cambria Math" w:hAnsi="Cambria Math"/>
                <w:noProof/>
                <w:lang w:val="en-US"/>
              </w:rPr>
              <m:t>mmol</m:t>
            </m:r>
          </m:num>
          <m:den>
            <m:r>
              <m:rPr>
                <m:sty m:val="p"/>
              </m:rPr>
              <w:rPr>
                <w:rFonts w:ascii="Cambria Math" w:hAnsi="Cambria Math"/>
                <w:noProof/>
                <w:lang w:val="en-US"/>
              </w:rPr>
              <m:t>L</m:t>
            </m:r>
          </m:den>
        </m:f>
      </m:oMath>
    </w:p>
    <w:p w:rsidR="006753BC" w:rsidRPr="000F06DC" w:rsidRDefault="006753BC" w:rsidP="003475A1">
      <w:pPr>
        <w:spacing w:line="276" w:lineRule="auto"/>
        <w:rPr>
          <w:rFonts w:eastAsiaTheme="minorEastAsia"/>
          <w:noProof/>
          <w:lang w:val="en-US"/>
        </w:rPr>
      </w:pPr>
      <m:oMathPara>
        <m:oMath>
          <m:r>
            <w:rPr>
              <w:rFonts w:ascii="Cambria Math" w:eastAsiaTheme="minorEastAsia" w:hAnsi="Cambria Math"/>
              <w:noProof/>
            </w:rPr>
            <m:t>m</m:t>
          </m:r>
          <m:d>
            <m:dPr>
              <m:ctrlPr>
                <w:rPr>
                  <w:rFonts w:ascii="Cambria Math" w:eastAsiaTheme="minorEastAsia" w:hAnsi="Cambria Math"/>
                  <w:i/>
                  <w:noProof/>
                </w:rPr>
              </m:ctrlPr>
            </m:dPr>
            <m:e>
              <m:sSup>
                <m:sSupPr>
                  <m:ctrlPr>
                    <w:rPr>
                      <w:rFonts w:ascii="Cambria Math" w:hAnsi="Cambria Math"/>
                      <w:noProof/>
                      <w:lang w:val="en-US"/>
                    </w:rPr>
                  </m:ctrlPr>
                </m:sSupPr>
                <m:e>
                  <m:sSub>
                    <m:sSubPr>
                      <m:ctrlPr>
                        <w:rPr>
                          <w:rFonts w:ascii="Cambria Math" w:hAnsi="Cambria Math"/>
                          <w:noProof/>
                          <w:lang w:val="en-US"/>
                        </w:rPr>
                      </m:ctrlPr>
                    </m:sSubPr>
                    <m:e>
                      <m:r>
                        <m:rPr>
                          <m:sty m:val="p"/>
                        </m:rPr>
                        <w:rPr>
                          <w:rFonts w:ascii="Cambria Math" w:hAnsi="Cambria Math"/>
                          <w:noProof/>
                          <w:lang w:val="en-US"/>
                        </w:rPr>
                        <m:t>SO</m:t>
                      </m:r>
                    </m:e>
                    <m:sub>
                      <m:r>
                        <m:rPr>
                          <m:sty m:val="p"/>
                        </m:rPr>
                        <w:rPr>
                          <w:rFonts w:ascii="Cambria Math" w:hAnsi="Cambria Math"/>
                          <w:noProof/>
                          <w:lang w:val="en-US"/>
                        </w:rPr>
                        <m:t>3</m:t>
                      </m:r>
                    </m:sub>
                  </m:sSub>
                </m:e>
                <m:sup>
                  <m:r>
                    <m:rPr>
                      <m:sty m:val="p"/>
                    </m:rPr>
                    <w:rPr>
                      <w:rFonts w:ascii="Cambria Math" w:hAnsi="Cambria Math"/>
                      <w:noProof/>
                      <w:lang w:val="en-US"/>
                    </w:rPr>
                    <m:t>2-</m:t>
                  </m:r>
                </m:sup>
              </m:sSup>
              <m:ctrlPr>
                <w:rPr>
                  <w:rFonts w:ascii="Cambria Math" w:hAnsi="Cambria Math"/>
                  <w:noProof/>
                  <w:lang w:val="en-US"/>
                </w:rPr>
              </m:ctrlPr>
            </m:e>
          </m:d>
          <m:r>
            <m:rPr>
              <m:sty m:val="p"/>
            </m:rPr>
            <w:rPr>
              <w:rFonts w:ascii="Cambria Math" w:hAnsi="Cambria Math"/>
              <w:noProof/>
              <w:lang w:val="en-US"/>
            </w:rPr>
            <m:t>=</m:t>
          </m:r>
          <m:r>
            <w:rPr>
              <w:rFonts w:ascii="Cambria Math" w:hAnsi="Cambria Math"/>
              <w:noProof/>
              <w:lang w:val="en-US"/>
            </w:rPr>
            <m:t xml:space="preserve">0,431 </m:t>
          </m:r>
          <m:r>
            <m:rPr>
              <m:sty m:val="p"/>
            </m:rPr>
            <w:rPr>
              <w:rFonts w:ascii="Cambria Math" w:hAnsi="Cambria Math"/>
              <w:noProof/>
              <w:lang w:val="en-US"/>
            </w:rPr>
            <m:t>g</m:t>
          </m:r>
          <m:r>
            <w:rPr>
              <w:rFonts w:ascii="Cambria Math" w:eastAsiaTheme="minorEastAsia" w:hAnsi="Cambria Math"/>
              <w:noProof/>
              <w:lang w:val="en-US"/>
            </w:rPr>
            <m:t xml:space="preserve">=431 </m:t>
          </m:r>
          <m:r>
            <m:rPr>
              <m:sty m:val="p"/>
            </m:rPr>
            <w:rPr>
              <w:rFonts w:ascii="Cambria Math" w:eastAsiaTheme="minorEastAsia" w:hAnsi="Cambria Math"/>
              <w:noProof/>
              <w:lang w:val="en-US"/>
            </w:rPr>
            <m:t>mg</m:t>
          </m:r>
        </m:oMath>
      </m:oMathPara>
    </w:p>
    <w:p w:rsidR="00073637" w:rsidRPr="002A1520" w:rsidRDefault="00073637" w:rsidP="003475A1">
      <w:pPr>
        <w:spacing w:line="276" w:lineRule="auto"/>
        <w:rPr>
          <w:rFonts w:eastAsiaTheme="minorEastAsia"/>
          <w:noProof/>
        </w:rPr>
      </w:pPr>
      <w:r>
        <w:rPr>
          <w:rFonts w:eastAsiaTheme="minorEastAsia"/>
          <w:noProof/>
        </w:rPr>
        <w:lastRenderedPageBreak/>
        <w:tab/>
      </w:r>
      <w:r>
        <w:rPr>
          <w:rFonts w:eastAsiaTheme="minorEastAsia"/>
          <w:noProof/>
        </w:rPr>
        <w:tab/>
      </w:r>
      <w:r>
        <w:rPr>
          <w:rFonts w:eastAsiaTheme="minorEastAsia"/>
          <w:noProof/>
        </w:rPr>
        <w:tab/>
      </w:r>
      <w:r w:rsidR="003475A1">
        <w:rPr>
          <w:rFonts w:eastAsiaTheme="minorEastAsia"/>
          <w:noProof/>
        </w:rPr>
        <w:t xml:space="preserve">Der Höchstgehalt, der an Sulfiten im Weißwein enthalten sein darf liegt </w:t>
      </w:r>
      <w:r w:rsidR="003475A1">
        <w:rPr>
          <w:rFonts w:eastAsiaTheme="minorEastAsia"/>
          <w:noProof/>
        </w:rPr>
        <w:tab/>
      </w:r>
      <w:r w:rsidR="003475A1">
        <w:rPr>
          <w:rFonts w:eastAsiaTheme="minorEastAsia"/>
          <w:noProof/>
        </w:rPr>
        <w:tab/>
      </w:r>
      <w:r w:rsidR="003475A1">
        <w:rPr>
          <w:rFonts w:eastAsiaTheme="minorEastAsia"/>
          <w:noProof/>
        </w:rPr>
        <w:tab/>
        <w:t>bei 200 mg/L</w:t>
      </w:r>
      <w:r w:rsidR="003475A1">
        <w:rPr>
          <w:rFonts w:eastAsiaTheme="minorEastAsia"/>
          <w:noProof/>
          <w:vertAlign w:val="superscript"/>
        </w:rPr>
        <w:t>[1</w:t>
      </w:r>
      <w:r w:rsidR="003475A1" w:rsidRPr="003475A1">
        <w:rPr>
          <w:vertAlign w:val="superscript"/>
        </w:rPr>
        <w:t>]</w:t>
      </w:r>
      <w:r w:rsidR="003475A1">
        <w:rPr>
          <w:rFonts w:eastAsiaTheme="minorEastAsia"/>
          <w:noProof/>
        </w:rPr>
        <w:t xml:space="preserve">. Wird dieser Wert mit dem errechneten, ist auffällig, das </w:t>
      </w:r>
      <w:r w:rsidR="003475A1">
        <w:rPr>
          <w:rFonts w:eastAsiaTheme="minorEastAsia"/>
          <w:noProof/>
        </w:rPr>
        <w:tab/>
      </w:r>
      <w:r w:rsidR="003475A1">
        <w:rPr>
          <w:rFonts w:eastAsiaTheme="minorEastAsia"/>
          <w:noProof/>
        </w:rPr>
        <w:tab/>
      </w:r>
      <w:r w:rsidR="003475A1">
        <w:rPr>
          <w:rFonts w:eastAsiaTheme="minorEastAsia"/>
          <w:noProof/>
        </w:rPr>
        <w:tab/>
        <w:t xml:space="preserve">der bestimmte Wert deutlich über dem erlaubten Wert liegt. Dies kommt </w:t>
      </w:r>
      <w:r w:rsidR="003475A1">
        <w:rPr>
          <w:rFonts w:eastAsiaTheme="minorEastAsia"/>
          <w:noProof/>
        </w:rPr>
        <w:tab/>
      </w:r>
      <w:r w:rsidR="003475A1">
        <w:rPr>
          <w:rFonts w:eastAsiaTheme="minorEastAsia"/>
          <w:noProof/>
        </w:rPr>
        <w:tab/>
      </w:r>
      <w:r w:rsidR="003475A1">
        <w:rPr>
          <w:rFonts w:eastAsiaTheme="minorEastAsia"/>
          <w:noProof/>
        </w:rPr>
        <w:tab/>
        <w:t>zustande, da die Konzentration aller</w:t>
      </w:r>
      <w:r w:rsidR="00160F4A">
        <w:rPr>
          <w:rFonts w:eastAsiaTheme="minorEastAsia"/>
          <w:noProof/>
        </w:rPr>
        <w:t xml:space="preserve"> Substa</w:t>
      </w:r>
      <w:r w:rsidR="003962C5">
        <w:rPr>
          <w:rFonts w:eastAsiaTheme="minorEastAsia"/>
          <w:noProof/>
        </w:rPr>
        <w:t>n</w:t>
      </w:r>
      <w:r w:rsidR="00160F4A">
        <w:rPr>
          <w:rFonts w:eastAsiaTheme="minorEastAsia"/>
          <w:noProof/>
        </w:rPr>
        <w:t>zen, die Iod reduzier</w:t>
      </w:r>
      <w:r w:rsidR="003962C5">
        <w:rPr>
          <w:rFonts w:eastAsiaTheme="minorEastAsia"/>
          <w:noProof/>
        </w:rPr>
        <w:t>en</w:t>
      </w:r>
      <w:r w:rsidR="00160F4A">
        <w:rPr>
          <w:rFonts w:eastAsiaTheme="minorEastAsia"/>
          <w:noProof/>
        </w:rPr>
        <w:t xml:space="preserve"> </w:t>
      </w:r>
      <w:r w:rsidR="00160F4A">
        <w:rPr>
          <w:rFonts w:eastAsiaTheme="minorEastAsia"/>
          <w:noProof/>
        </w:rPr>
        <w:tab/>
      </w:r>
      <w:r w:rsidR="00160F4A">
        <w:rPr>
          <w:rFonts w:eastAsiaTheme="minorEastAsia"/>
          <w:noProof/>
        </w:rPr>
        <w:tab/>
      </w:r>
      <w:r w:rsidR="00160F4A">
        <w:rPr>
          <w:rFonts w:eastAsiaTheme="minorEastAsia"/>
          <w:noProof/>
        </w:rPr>
        <w:tab/>
      </w:r>
      <w:r w:rsidR="003475A1">
        <w:rPr>
          <w:rFonts w:eastAsiaTheme="minorEastAsia"/>
          <w:noProof/>
        </w:rPr>
        <w:t>bestimmt w</w:t>
      </w:r>
      <w:r w:rsidR="003962C5">
        <w:rPr>
          <w:rFonts w:eastAsiaTheme="minorEastAsia"/>
          <w:noProof/>
        </w:rPr>
        <w:t>e</w:t>
      </w:r>
      <w:r w:rsidR="003475A1">
        <w:rPr>
          <w:rFonts w:eastAsiaTheme="minorEastAsia"/>
          <w:noProof/>
        </w:rPr>
        <w:t>rd</w:t>
      </w:r>
      <w:r w:rsidR="003962C5">
        <w:rPr>
          <w:rFonts w:eastAsiaTheme="minorEastAsia"/>
          <w:noProof/>
        </w:rPr>
        <w:t>en</w:t>
      </w:r>
      <w:r w:rsidR="003475A1">
        <w:rPr>
          <w:rFonts w:eastAsiaTheme="minorEastAsia"/>
          <w:noProof/>
        </w:rPr>
        <w:t>.</w:t>
      </w:r>
      <w:r w:rsidR="00891826">
        <w:rPr>
          <w:rFonts w:eastAsiaTheme="minorEastAsia"/>
          <w:noProof/>
          <w:vertAlign w:val="superscript"/>
        </w:rPr>
        <w:t>[2]</w:t>
      </w:r>
      <w:r w:rsidR="00160F4A">
        <w:rPr>
          <w:rFonts w:eastAsiaTheme="minorEastAsia"/>
          <w:noProof/>
        </w:rPr>
        <w:t xml:space="preserve"> Iod oxidert die weiteren Bestandteile des Weins, wie </w:t>
      </w:r>
      <w:r w:rsidR="00160F4A">
        <w:rPr>
          <w:rFonts w:eastAsiaTheme="minorEastAsia"/>
          <w:noProof/>
        </w:rPr>
        <w:tab/>
      </w:r>
      <w:r w:rsidR="00160F4A">
        <w:rPr>
          <w:rFonts w:eastAsiaTheme="minorEastAsia"/>
          <w:noProof/>
        </w:rPr>
        <w:tab/>
      </w:r>
      <w:r w:rsidR="00160F4A">
        <w:rPr>
          <w:rFonts w:eastAsiaTheme="minorEastAsia"/>
          <w:noProof/>
        </w:rPr>
        <w:tab/>
        <w:t xml:space="preserve">Zucker und Ethanol, so dass der erhaltene Wert über dem Grenzwert </w:t>
      </w:r>
      <w:r w:rsidR="00160F4A">
        <w:rPr>
          <w:rFonts w:eastAsiaTheme="minorEastAsia"/>
          <w:noProof/>
        </w:rPr>
        <w:tab/>
      </w:r>
      <w:r w:rsidR="00160F4A">
        <w:rPr>
          <w:rFonts w:eastAsiaTheme="minorEastAsia"/>
          <w:noProof/>
        </w:rPr>
        <w:tab/>
      </w:r>
      <w:r w:rsidR="00160F4A">
        <w:rPr>
          <w:rFonts w:eastAsiaTheme="minorEastAsia"/>
          <w:noProof/>
        </w:rPr>
        <w:tab/>
        <w:t>liegt.</w:t>
      </w:r>
    </w:p>
    <w:p w:rsidR="00216E3C" w:rsidRPr="0056694B" w:rsidRDefault="00216E3C" w:rsidP="00364CAD">
      <w:pPr>
        <w:spacing w:line="276" w:lineRule="auto"/>
        <w:rPr>
          <w:rFonts w:eastAsiaTheme="minorEastAsia"/>
          <w:noProof/>
        </w:rPr>
      </w:pPr>
      <w:r>
        <w:t>Entsorgung:</w:t>
      </w:r>
      <w:r>
        <w:tab/>
        <w:t xml:space="preserve">           </w:t>
      </w:r>
      <w:r w:rsidR="00125CEA">
        <w:tab/>
      </w:r>
      <w:r w:rsidR="003475A1">
        <w:t xml:space="preserve">Nach der Neutralisation mit </w:t>
      </w:r>
      <w:proofErr w:type="spellStart"/>
      <w:r w:rsidR="003475A1">
        <w:t>Thios</w:t>
      </w:r>
      <w:r w:rsidR="003962C5">
        <w:t>ul</w:t>
      </w:r>
      <w:r w:rsidR="003475A1">
        <w:t>fat</w:t>
      </w:r>
      <w:proofErr w:type="spellEnd"/>
      <w:r w:rsidR="003475A1">
        <w:t xml:space="preserve">-Lösung, um sicherzustellen, dass </w:t>
      </w:r>
      <w:r w:rsidR="003475A1">
        <w:tab/>
      </w:r>
      <w:r w:rsidR="003475A1">
        <w:tab/>
      </w:r>
      <w:r w:rsidR="003475A1">
        <w:tab/>
        <w:t xml:space="preserve">das ganze Iod zu den Halogeniden reduziert wurde, wird das Gemisch </w:t>
      </w:r>
      <w:r w:rsidR="003475A1">
        <w:tab/>
      </w:r>
      <w:r w:rsidR="003475A1">
        <w:tab/>
      </w:r>
      <w:r w:rsidR="003475A1">
        <w:tab/>
        <w:t>nach der Neutralisation mit Natriumhydrogencarbonat in</w:t>
      </w:r>
      <w:r w:rsidR="003962C5">
        <w:t>s</w:t>
      </w:r>
      <w:r w:rsidR="003475A1">
        <w:t xml:space="preserve"> Abwasser </w:t>
      </w:r>
      <w:proofErr w:type="spellStart"/>
      <w:r w:rsidR="003475A1">
        <w:t>ge</w:t>
      </w:r>
      <w:proofErr w:type="spellEnd"/>
      <w:r w:rsidR="003475A1">
        <w:tab/>
      </w:r>
      <w:r w:rsidR="003475A1">
        <w:tab/>
      </w:r>
      <w:r w:rsidR="003475A1">
        <w:tab/>
        <w:t>geben.</w:t>
      </w:r>
      <w:r>
        <w:t xml:space="preserve"> </w:t>
      </w:r>
    </w:p>
    <w:p w:rsidR="005B60E3" w:rsidRDefault="00F17765" w:rsidP="00364CAD">
      <w:pPr>
        <w:spacing w:line="276" w:lineRule="auto"/>
        <w:rPr>
          <w:color w:val="auto"/>
        </w:rPr>
      </w:pPr>
      <w:r>
        <w:t>Literatur:</w:t>
      </w:r>
      <w:r>
        <w:tab/>
      </w:r>
      <w:r>
        <w:tab/>
      </w:r>
      <w:r w:rsidR="00891826">
        <w:rPr>
          <w:color w:val="auto"/>
        </w:rPr>
        <w:t xml:space="preserve">[1] </w:t>
      </w:r>
      <w:proofErr w:type="spellStart"/>
      <w:r w:rsidR="00891826">
        <w:rPr>
          <w:color w:val="auto"/>
        </w:rPr>
        <w:t>Rindchen´s</w:t>
      </w:r>
      <w:proofErr w:type="spellEnd"/>
      <w:r w:rsidR="00891826">
        <w:rPr>
          <w:color w:val="auto"/>
        </w:rPr>
        <w:t xml:space="preserve"> Weinkontor GmbH &amp; Co. KG, </w:t>
      </w:r>
      <w:r w:rsidR="00891826">
        <w:rPr>
          <w:color w:val="auto"/>
        </w:rPr>
        <w:tab/>
      </w:r>
      <w:r w:rsidR="00891826">
        <w:rPr>
          <w:color w:val="auto"/>
        </w:rPr>
        <w:tab/>
      </w:r>
      <w:r w:rsidR="00891826">
        <w:rPr>
          <w:color w:val="auto"/>
        </w:rPr>
        <w:tab/>
      </w:r>
      <w:r w:rsidR="00891826">
        <w:rPr>
          <w:color w:val="auto"/>
        </w:rPr>
        <w:tab/>
      </w:r>
      <w:r w:rsidR="00891826">
        <w:rPr>
          <w:color w:val="auto"/>
        </w:rPr>
        <w:tab/>
      </w:r>
      <w:r w:rsidR="00891826">
        <w:rPr>
          <w:color w:val="auto"/>
        </w:rPr>
        <w:tab/>
      </w:r>
      <w:r w:rsidR="00891826">
        <w:rPr>
          <w:color w:val="auto"/>
        </w:rPr>
        <w:tab/>
      </w:r>
      <w:r w:rsidR="00891826" w:rsidRPr="00891826">
        <w:rPr>
          <w:color w:val="auto"/>
        </w:rPr>
        <w:t>https://www.rindchen.de/sulfite-im-wein.html</w:t>
      </w:r>
      <w:r w:rsidR="00891826">
        <w:rPr>
          <w:color w:val="auto"/>
        </w:rPr>
        <w:t xml:space="preserve">, 31.07.16 (Zuletzt </w:t>
      </w:r>
      <w:proofErr w:type="spellStart"/>
      <w:r w:rsidR="00891826">
        <w:rPr>
          <w:color w:val="auto"/>
        </w:rPr>
        <w:t>abgeru</w:t>
      </w:r>
      <w:proofErr w:type="spellEnd"/>
      <w:r w:rsidR="00364CAD">
        <w:rPr>
          <w:color w:val="auto"/>
        </w:rPr>
        <w:t>-</w:t>
      </w:r>
      <w:r w:rsidR="00891826">
        <w:rPr>
          <w:color w:val="auto"/>
        </w:rPr>
        <w:tab/>
      </w:r>
      <w:r w:rsidR="00891826">
        <w:rPr>
          <w:color w:val="auto"/>
        </w:rPr>
        <w:tab/>
      </w:r>
      <w:r w:rsidR="00891826">
        <w:rPr>
          <w:color w:val="auto"/>
        </w:rPr>
        <w:tab/>
      </w:r>
      <w:proofErr w:type="spellStart"/>
      <w:r w:rsidR="00891826">
        <w:rPr>
          <w:color w:val="auto"/>
        </w:rPr>
        <w:t>fen</w:t>
      </w:r>
      <w:proofErr w:type="spellEnd"/>
      <w:r w:rsidR="00891826">
        <w:rPr>
          <w:color w:val="auto"/>
        </w:rPr>
        <w:t xml:space="preserve"> am 31.07.16 um 9:46 Uhr).</w:t>
      </w:r>
    </w:p>
    <w:p w:rsidR="00891826" w:rsidRPr="005B60E3" w:rsidRDefault="00891826" w:rsidP="00364CAD">
      <w:pPr>
        <w:spacing w:line="276" w:lineRule="auto"/>
        <w:rPr>
          <w:rFonts w:asciiTheme="majorHAnsi" w:eastAsiaTheme="majorEastAsia" w:hAnsiTheme="majorHAnsi" w:cstheme="majorBidi"/>
          <w:b/>
          <w:bCs/>
          <w:sz w:val="28"/>
          <w:szCs w:val="28"/>
        </w:rPr>
      </w:pPr>
      <w:r>
        <w:rPr>
          <w:color w:val="auto"/>
        </w:rPr>
        <w:tab/>
      </w:r>
      <w:r>
        <w:rPr>
          <w:color w:val="auto"/>
        </w:rPr>
        <w:tab/>
      </w:r>
      <w:r>
        <w:rPr>
          <w:color w:val="auto"/>
        </w:rPr>
        <w:tab/>
        <w:t xml:space="preserve">[2] </w:t>
      </w:r>
      <w:r w:rsidRPr="00891826">
        <w:rPr>
          <w:color w:val="auto"/>
        </w:rPr>
        <w:t>http://chemiefachberater.manos-</w:t>
      </w:r>
      <w:r w:rsidRPr="00891826">
        <w:rPr>
          <w:color w:val="auto"/>
        </w:rPr>
        <w:tab/>
      </w:r>
      <w:r w:rsidRPr="00891826">
        <w:rPr>
          <w:color w:val="auto"/>
        </w:rPr>
        <w:tab/>
      </w:r>
      <w:r w:rsidRPr="00891826">
        <w:rPr>
          <w:color w:val="auto"/>
        </w:rPr>
        <w:tab/>
      </w:r>
      <w:r w:rsidRPr="00891826">
        <w:rPr>
          <w:color w:val="auto"/>
        </w:rPr>
        <w:tab/>
      </w:r>
      <w:r w:rsidRPr="00891826">
        <w:rPr>
          <w:color w:val="auto"/>
        </w:rPr>
        <w:tab/>
      </w:r>
      <w:r w:rsidRPr="00891826">
        <w:rPr>
          <w:color w:val="auto"/>
        </w:rPr>
        <w:tab/>
      </w:r>
      <w:r w:rsidRPr="00891826">
        <w:rPr>
          <w:color w:val="auto"/>
        </w:rPr>
        <w:tab/>
      </w:r>
      <w:r w:rsidRPr="00891826">
        <w:rPr>
          <w:color w:val="auto"/>
        </w:rPr>
        <w:tab/>
        <w:t>dresden.de/</w:t>
      </w:r>
      <w:proofErr w:type="spellStart"/>
      <w:r w:rsidRPr="00891826">
        <w:rPr>
          <w:color w:val="auto"/>
        </w:rPr>
        <w:t>downloads</w:t>
      </w:r>
      <w:proofErr w:type="spellEnd"/>
      <w:r w:rsidRPr="00891826">
        <w:rPr>
          <w:color w:val="auto"/>
        </w:rPr>
        <w:t>/sulfitgehaltimwein.pdf</w:t>
      </w:r>
      <w:r>
        <w:rPr>
          <w:color w:val="auto"/>
        </w:rPr>
        <w:t xml:space="preserve">, 31.07.16 (Zuletzt </w:t>
      </w:r>
      <w:proofErr w:type="spellStart"/>
      <w:r>
        <w:rPr>
          <w:color w:val="auto"/>
        </w:rPr>
        <w:t>abgeru</w:t>
      </w:r>
      <w:proofErr w:type="spellEnd"/>
      <w:r w:rsidR="00364CAD">
        <w:rPr>
          <w:color w:val="auto"/>
        </w:rPr>
        <w:t>-</w:t>
      </w:r>
      <w:r>
        <w:rPr>
          <w:color w:val="auto"/>
        </w:rPr>
        <w:tab/>
      </w:r>
      <w:r>
        <w:rPr>
          <w:color w:val="auto"/>
        </w:rPr>
        <w:tab/>
      </w:r>
      <w:r>
        <w:rPr>
          <w:color w:val="auto"/>
        </w:rPr>
        <w:tab/>
      </w:r>
      <w:proofErr w:type="spellStart"/>
      <w:r>
        <w:rPr>
          <w:color w:val="auto"/>
        </w:rPr>
        <w:t>fen</w:t>
      </w:r>
      <w:proofErr w:type="spellEnd"/>
      <w:r>
        <w:rPr>
          <w:color w:val="auto"/>
        </w:rPr>
        <w:t xml:space="preserve"> am 31.07. 9:48Uhr).</w:t>
      </w:r>
    </w:p>
    <w:p w:rsidR="00F17765" w:rsidRDefault="00F17765" w:rsidP="00F17765">
      <w:pPr>
        <w:tabs>
          <w:tab w:val="left" w:pos="1701"/>
          <w:tab w:val="left" w:pos="1985"/>
        </w:tabs>
        <w:ind w:left="1980" w:hanging="1980"/>
      </w:pPr>
    </w:p>
    <w:p w:rsidR="006E32AF" w:rsidRDefault="00D837BB" w:rsidP="006E32AF">
      <w:pPr>
        <w:tabs>
          <w:tab w:val="left" w:pos="1701"/>
          <w:tab w:val="left" w:pos="1985"/>
        </w:tabs>
        <w:ind w:left="1980" w:hanging="1980"/>
      </w:pPr>
      <w:r>
        <w:pict>
          <v:shape id="_x0000_s1168" type="#_x0000_t202" style="width:462.45pt;height:271.65pt;mso-position-horizontal-relative:char;mso-position-vertical-relative:line;mso-width-relative:margin;mso-height-relative:margin" fillcolor="white [3201]" strokecolor="#c0504d [3205]" strokeweight="1pt">
            <v:stroke dashstyle="dash"/>
            <v:shadow color="#868686"/>
            <v:textbox style="mso-next-textbox:#_x0000_s1168">
              <w:txbxContent>
                <w:p w:rsidR="00777888" w:rsidRPr="00F31EBF" w:rsidRDefault="00777888" w:rsidP="000D10FB">
                  <w:pPr>
                    <w:rPr>
                      <w:color w:val="auto"/>
                    </w:rPr>
                  </w:pPr>
                  <w:r w:rsidRPr="00F31EBF">
                    <w:rPr>
                      <w:b/>
                      <w:color w:val="auto"/>
                    </w:rPr>
                    <w:t xml:space="preserve">Unterrichtsanschlüsse </w:t>
                  </w:r>
                  <w:r>
                    <w:rPr>
                      <w:color w:val="auto"/>
                    </w:rPr>
                    <w:t xml:space="preserve">Dieser Versuch eignet sich für den Abschluss der Einheit Titrationen. Da in diesem Versuch das chemische Rechnen wiederholt und geübt wird. Des Weiteren wird den Schülerinnen und Schülern eine weitere Methode der Titration aufgezeigt. Diese Art der Titration ist eine </w:t>
                  </w:r>
                  <w:proofErr w:type="spellStart"/>
                  <w:r>
                    <w:rPr>
                      <w:color w:val="auto"/>
                    </w:rPr>
                    <w:t>Redoxtitration</w:t>
                  </w:r>
                  <w:proofErr w:type="spellEnd"/>
                  <w:r>
                    <w:rPr>
                      <w:color w:val="auto"/>
                    </w:rPr>
                    <w:t>, die als Analyseinstrument dient um einen bestimmten Gehalt einer Substanz in Lebensmitteln/ Genussmitteln zu ermitteln. Am Ende der Einheit sollte auch auf die Verwendung des Sulfits im Weißwein eingegangen werden, damit bei den Schülerinnen und Schülern nicht die Fehlvorstellung, dass Wein durch den Zusatz von Sulfit gesundheitsg</w:t>
                  </w:r>
                  <w:r>
                    <w:rPr>
                      <w:color w:val="auto"/>
                    </w:rPr>
                    <w:t>e</w:t>
                  </w:r>
                  <w:r>
                    <w:rPr>
                      <w:color w:val="auto"/>
                    </w:rPr>
                    <w:t>fährdend ist, sondern es muss die Intention der längeren Haltbarkeit in den Vordergrund g</w:t>
                  </w:r>
                  <w:r>
                    <w:rPr>
                      <w:color w:val="auto"/>
                    </w:rPr>
                    <w:t>e</w:t>
                  </w:r>
                  <w:r>
                    <w:rPr>
                      <w:color w:val="auto"/>
                    </w:rPr>
                    <w:t xml:space="preserve">rückt werden. Dieser Versuch ist als Lehrerversuch gedacht, da die Handhabung mit dem </w:t>
                  </w:r>
                  <w:proofErr w:type="spellStart"/>
                  <w:r>
                    <w:rPr>
                      <w:color w:val="auto"/>
                    </w:rPr>
                    <w:t>Iodwasser</w:t>
                  </w:r>
                  <w:proofErr w:type="spellEnd"/>
                  <w:r>
                    <w:rPr>
                      <w:color w:val="auto"/>
                    </w:rPr>
                    <w:t xml:space="preserve"> vorsichtig und bedacht sein muss, da sonst gesundheitliche Schäden bei Hautko</w:t>
                  </w:r>
                  <w:r>
                    <w:rPr>
                      <w:color w:val="auto"/>
                    </w:rPr>
                    <w:t>n</w:t>
                  </w:r>
                  <w:r>
                    <w:rPr>
                      <w:color w:val="auto"/>
                    </w:rPr>
                    <w:t xml:space="preserve">takt folgen können. Daher ist das Tragen von Handschuhen ratsam. Des Weiteren sollte immer ein großes Becherglas (500 </w:t>
                  </w:r>
                  <w:proofErr w:type="spellStart"/>
                  <w:r>
                    <w:rPr>
                      <w:color w:val="auto"/>
                    </w:rPr>
                    <w:t>mL</w:t>
                  </w:r>
                  <w:proofErr w:type="spellEnd"/>
                  <w:r>
                    <w:rPr>
                      <w:color w:val="auto"/>
                    </w:rPr>
                    <w:t xml:space="preserve">) mit </w:t>
                  </w:r>
                  <w:proofErr w:type="spellStart"/>
                  <w:r>
                    <w:rPr>
                      <w:color w:val="auto"/>
                    </w:rPr>
                    <w:t>Natriumthisulfat</w:t>
                  </w:r>
                  <w:proofErr w:type="spellEnd"/>
                  <w:r>
                    <w:rPr>
                      <w:color w:val="auto"/>
                    </w:rPr>
                    <w:t>-Lösung bereitstehen, damit im Falle e</w:t>
                  </w:r>
                  <w:r>
                    <w:rPr>
                      <w:color w:val="auto"/>
                    </w:rPr>
                    <w:t>i</w:t>
                  </w:r>
                  <w:r>
                    <w:rPr>
                      <w:color w:val="auto"/>
                    </w:rPr>
                    <w:t>nes Verschüttens ordnungsgemäß gehandelt werden kann und keine Gefahr für die Schüleri</w:t>
                  </w:r>
                  <w:r>
                    <w:rPr>
                      <w:color w:val="auto"/>
                    </w:rPr>
                    <w:t>n</w:t>
                  </w:r>
                  <w:r>
                    <w:rPr>
                      <w:color w:val="auto"/>
                    </w:rPr>
                    <w:t>nen und Schüler besteht.</w:t>
                  </w:r>
                </w:p>
              </w:txbxContent>
            </v:textbox>
            <w10:wrap type="none"/>
            <w10:anchorlock/>
          </v:shape>
        </w:pict>
      </w:r>
    </w:p>
    <w:p w:rsidR="00973C54" w:rsidRDefault="00973C54" w:rsidP="006E32AF">
      <w:pPr>
        <w:tabs>
          <w:tab w:val="left" w:pos="1701"/>
          <w:tab w:val="left" w:pos="1985"/>
        </w:tabs>
        <w:ind w:left="1980" w:hanging="1980"/>
      </w:pPr>
    </w:p>
    <w:p w:rsidR="00973C54" w:rsidRDefault="00973C54" w:rsidP="006E32AF">
      <w:pPr>
        <w:tabs>
          <w:tab w:val="left" w:pos="1701"/>
          <w:tab w:val="left" w:pos="1985"/>
        </w:tabs>
        <w:ind w:left="1980" w:hanging="1980"/>
      </w:pPr>
    </w:p>
    <w:p w:rsidR="00973C54" w:rsidRDefault="00973C54" w:rsidP="006E32AF">
      <w:pPr>
        <w:tabs>
          <w:tab w:val="left" w:pos="1701"/>
          <w:tab w:val="left" w:pos="1985"/>
        </w:tabs>
        <w:ind w:left="1980" w:hanging="1980"/>
      </w:pPr>
    </w:p>
    <w:p w:rsidR="0039183F" w:rsidRPr="00CC307A" w:rsidRDefault="001045D1" w:rsidP="0039183F">
      <w:pPr>
        <w:pStyle w:val="berschrift2"/>
        <w:rPr>
          <w:color w:val="auto"/>
        </w:rPr>
      </w:pPr>
      <w:bookmarkStart w:id="7" w:name="_Toc457758473"/>
      <w:r>
        <w:rPr>
          <w:color w:val="auto"/>
        </w:rPr>
        <w:lastRenderedPageBreak/>
        <w:t>V2</w:t>
      </w:r>
      <w:r w:rsidR="0039183F" w:rsidRPr="00CC307A">
        <w:rPr>
          <w:color w:val="auto"/>
        </w:rPr>
        <w:t xml:space="preserve"> – </w:t>
      </w:r>
      <w:r w:rsidR="000701C2">
        <w:rPr>
          <w:color w:val="auto"/>
        </w:rPr>
        <w:t>Natriumhydroxid-Gehalt im Rohrreiniger</w:t>
      </w:r>
      <w:bookmarkEnd w:id="7"/>
    </w:p>
    <w:p w:rsidR="0039183F" w:rsidRDefault="00D837BB" w:rsidP="0039183F">
      <w:pPr>
        <w:pStyle w:val="berschrift2"/>
        <w:numPr>
          <w:ilvl w:val="0"/>
          <w:numId w:val="0"/>
        </w:numPr>
      </w:pPr>
      <w:r>
        <w:rPr>
          <w:noProof/>
          <w:lang w:eastAsia="de-DE"/>
        </w:rPr>
        <w:pict>
          <v:shape id="_x0000_s1158" type="#_x0000_t202" style="position:absolute;left:0;text-align:left;margin-left:-.05pt;margin-top:2.1pt;width:462.45pt;height:62.75pt;z-index:251790336;mso-width-relative:margin;mso-height-relative:margin" fillcolor="white [3201]" strokecolor="#4bacc6 [3208]" strokeweight="1pt">
            <v:stroke dashstyle="dash"/>
            <v:shadow color="#868686"/>
            <v:textbox style="mso-next-textbox:#_x0000_s1158">
              <w:txbxContent>
                <w:p w:rsidR="00777888" w:rsidRPr="00F31EBF" w:rsidRDefault="00777888" w:rsidP="0039183F">
                  <w:pPr>
                    <w:rPr>
                      <w:color w:val="auto"/>
                    </w:rPr>
                  </w:pPr>
                  <w:r>
                    <w:rPr>
                      <w:color w:val="auto"/>
                    </w:rPr>
                    <w:t xml:space="preserve">In diesem Versuch wird fester Rohrreiniger gelöst und mit Salzsäure titriert. Dies dient zur Bestimmung des Natriumhydroxid-Gehalts im Rohrreiniger. Im Vorfeld sollte der Säure- und Base-Begriff nach Arrhenius eingeführt worden sein. </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39183F" w:rsidRPr="009C5E28" w:rsidTr="0039183F">
        <w:tc>
          <w:tcPr>
            <w:tcW w:w="9322" w:type="dxa"/>
            <w:gridSpan w:val="9"/>
            <w:shd w:val="clear" w:color="auto" w:fill="4F81BD"/>
            <w:vAlign w:val="center"/>
          </w:tcPr>
          <w:p w:rsidR="0039183F" w:rsidRPr="00F31EBF" w:rsidRDefault="0039183F" w:rsidP="0039183F">
            <w:pPr>
              <w:spacing w:after="0"/>
              <w:jc w:val="center"/>
              <w:rPr>
                <w:b/>
                <w:bCs/>
                <w:color w:val="FFFFFF" w:themeColor="background1"/>
              </w:rPr>
            </w:pPr>
            <w:r w:rsidRPr="00F31EBF">
              <w:rPr>
                <w:b/>
                <w:bCs/>
                <w:color w:val="FFFFFF" w:themeColor="background1"/>
              </w:rPr>
              <w:t>Gefahrenstoffe</w:t>
            </w:r>
          </w:p>
        </w:tc>
      </w:tr>
      <w:tr w:rsidR="0039183F" w:rsidRPr="009C5E28" w:rsidTr="0039183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9183F" w:rsidRPr="009C5E28" w:rsidRDefault="000701C2" w:rsidP="0039183F">
            <w:pPr>
              <w:spacing w:after="0" w:line="276" w:lineRule="auto"/>
              <w:jc w:val="center"/>
              <w:rPr>
                <w:b/>
                <w:bCs/>
              </w:rPr>
            </w:pPr>
            <w:r>
              <w:rPr>
                <w:sz w:val="20"/>
              </w:rPr>
              <w:t>Rohrreiniger</w:t>
            </w:r>
          </w:p>
        </w:tc>
        <w:tc>
          <w:tcPr>
            <w:tcW w:w="3177" w:type="dxa"/>
            <w:gridSpan w:val="3"/>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sidRPr="009C5E28">
              <w:rPr>
                <w:sz w:val="20"/>
              </w:rPr>
              <w:t xml:space="preserve">H: </w:t>
            </w:r>
            <w:r w:rsidR="007A1C74">
              <w:t>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9183F" w:rsidRPr="009C5E28" w:rsidRDefault="0039183F" w:rsidP="0039183F">
            <w:pPr>
              <w:spacing w:after="0"/>
              <w:jc w:val="center"/>
            </w:pPr>
            <w:r w:rsidRPr="009C5E28">
              <w:rPr>
                <w:sz w:val="20"/>
              </w:rPr>
              <w:t xml:space="preserve">P: </w:t>
            </w:r>
            <w:r w:rsidR="007A1C74">
              <w:t>260, 264, 280, 310, 312, 301+ 330+ 331, 305+338, 405</w:t>
            </w:r>
          </w:p>
        </w:tc>
      </w:tr>
      <w:tr w:rsidR="0039183F" w:rsidRPr="009C5E28" w:rsidTr="0039183F">
        <w:trPr>
          <w:trHeight w:val="434"/>
        </w:trPr>
        <w:tc>
          <w:tcPr>
            <w:tcW w:w="3027" w:type="dxa"/>
            <w:gridSpan w:val="3"/>
            <w:shd w:val="clear" w:color="auto" w:fill="auto"/>
            <w:vAlign w:val="center"/>
          </w:tcPr>
          <w:p w:rsidR="0039183F" w:rsidRPr="009C5E28" w:rsidRDefault="000701C2" w:rsidP="0039183F">
            <w:pPr>
              <w:spacing w:after="0" w:line="276" w:lineRule="auto"/>
              <w:jc w:val="center"/>
              <w:rPr>
                <w:bCs/>
                <w:sz w:val="20"/>
              </w:rPr>
            </w:pPr>
            <w:r>
              <w:rPr>
                <w:color w:val="auto"/>
                <w:sz w:val="20"/>
                <w:szCs w:val="20"/>
              </w:rPr>
              <w:t>Salzsäure</w:t>
            </w:r>
          </w:p>
        </w:tc>
        <w:tc>
          <w:tcPr>
            <w:tcW w:w="3177" w:type="dxa"/>
            <w:gridSpan w:val="3"/>
            <w:shd w:val="clear" w:color="auto" w:fill="auto"/>
            <w:vAlign w:val="center"/>
          </w:tcPr>
          <w:p w:rsidR="0039183F" w:rsidRPr="009C5E28" w:rsidRDefault="0039183F" w:rsidP="0039183F">
            <w:pPr>
              <w:pStyle w:val="Beschriftung"/>
              <w:spacing w:after="0"/>
              <w:jc w:val="center"/>
              <w:rPr>
                <w:sz w:val="20"/>
              </w:rPr>
            </w:pPr>
            <w:r w:rsidRPr="009C5E28">
              <w:rPr>
                <w:sz w:val="20"/>
              </w:rPr>
              <w:t xml:space="preserve">H: </w:t>
            </w:r>
            <w:r w:rsidR="000701C2">
              <w:t>290</w:t>
            </w:r>
          </w:p>
        </w:tc>
        <w:tc>
          <w:tcPr>
            <w:tcW w:w="3118" w:type="dxa"/>
            <w:gridSpan w:val="3"/>
            <w:shd w:val="clear" w:color="auto" w:fill="auto"/>
            <w:vAlign w:val="center"/>
          </w:tcPr>
          <w:p w:rsidR="0039183F" w:rsidRPr="009C5E28" w:rsidRDefault="0039183F" w:rsidP="0039183F">
            <w:pPr>
              <w:pStyle w:val="Beschriftung"/>
              <w:spacing w:after="0"/>
              <w:jc w:val="center"/>
              <w:rPr>
                <w:sz w:val="20"/>
              </w:rPr>
            </w:pPr>
            <w:r w:rsidRPr="009C5E28">
              <w:rPr>
                <w:sz w:val="20"/>
              </w:rPr>
              <w:t xml:space="preserve">P: </w:t>
            </w:r>
            <w:r>
              <w:t>-</w:t>
            </w:r>
          </w:p>
        </w:tc>
      </w:tr>
      <w:tr w:rsidR="0039183F" w:rsidRPr="009C5E28" w:rsidTr="0039183F">
        <w:trPr>
          <w:trHeight w:val="434"/>
        </w:trPr>
        <w:tc>
          <w:tcPr>
            <w:tcW w:w="3027" w:type="dxa"/>
            <w:gridSpan w:val="3"/>
            <w:shd w:val="clear" w:color="auto" w:fill="auto"/>
            <w:vAlign w:val="center"/>
          </w:tcPr>
          <w:p w:rsidR="0039183F" w:rsidRDefault="000701C2" w:rsidP="0039183F">
            <w:pPr>
              <w:spacing w:after="0" w:line="276" w:lineRule="auto"/>
              <w:jc w:val="center"/>
              <w:rPr>
                <w:color w:val="auto"/>
                <w:sz w:val="20"/>
                <w:szCs w:val="20"/>
              </w:rPr>
            </w:pPr>
            <w:r>
              <w:rPr>
                <w:color w:val="auto"/>
                <w:sz w:val="20"/>
                <w:szCs w:val="20"/>
              </w:rPr>
              <w:t>Phenolphtalein-Lösung</w:t>
            </w:r>
          </w:p>
        </w:tc>
        <w:tc>
          <w:tcPr>
            <w:tcW w:w="3177" w:type="dxa"/>
            <w:gridSpan w:val="3"/>
            <w:shd w:val="clear" w:color="auto" w:fill="auto"/>
            <w:vAlign w:val="center"/>
          </w:tcPr>
          <w:p w:rsidR="0039183F" w:rsidRPr="009C5E28" w:rsidRDefault="0039183F" w:rsidP="000701C2">
            <w:pPr>
              <w:pStyle w:val="Beschriftung"/>
              <w:spacing w:after="0"/>
              <w:jc w:val="center"/>
              <w:rPr>
                <w:sz w:val="20"/>
              </w:rPr>
            </w:pPr>
            <w:r>
              <w:rPr>
                <w:sz w:val="20"/>
              </w:rPr>
              <w:t xml:space="preserve">H: </w:t>
            </w:r>
            <w:r w:rsidR="000701C2">
              <w:rPr>
                <w:sz w:val="20"/>
              </w:rPr>
              <w:t>226, 319</w:t>
            </w:r>
          </w:p>
        </w:tc>
        <w:tc>
          <w:tcPr>
            <w:tcW w:w="3118" w:type="dxa"/>
            <w:gridSpan w:val="3"/>
            <w:shd w:val="clear" w:color="auto" w:fill="auto"/>
            <w:vAlign w:val="center"/>
          </w:tcPr>
          <w:p w:rsidR="0039183F" w:rsidRPr="009C5E28" w:rsidRDefault="000701C2" w:rsidP="0039183F">
            <w:pPr>
              <w:pStyle w:val="Beschriftung"/>
              <w:spacing w:after="0"/>
              <w:jc w:val="center"/>
              <w:rPr>
                <w:sz w:val="20"/>
              </w:rPr>
            </w:pPr>
            <w:r>
              <w:rPr>
                <w:sz w:val="20"/>
              </w:rPr>
              <w:t>P: 210,280, 305+ 351+ 338, 337+ 313, 403+ 235</w:t>
            </w:r>
          </w:p>
        </w:tc>
      </w:tr>
      <w:tr w:rsidR="0039183F" w:rsidRPr="009C5E28" w:rsidTr="0039183F">
        <w:tc>
          <w:tcPr>
            <w:tcW w:w="1009" w:type="dxa"/>
            <w:tcBorders>
              <w:top w:val="single" w:sz="8" w:space="0" w:color="4F81BD"/>
              <w:left w:val="single" w:sz="8" w:space="0" w:color="4F81BD"/>
              <w:bottom w:val="single" w:sz="8" w:space="0" w:color="4F81BD"/>
            </w:tcBorders>
            <w:shd w:val="clear" w:color="auto" w:fill="auto"/>
            <w:vAlign w:val="center"/>
          </w:tcPr>
          <w:p w:rsidR="0039183F" w:rsidRPr="009C5E28" w:rsidRDefault="002F2B00" w:rsidP="0039183F">
            <w:pPr>
              <w:spacing w:after="0"/>
              <w:jc w:val="center"/>
              <w:rPr>
                <w:b/>
                <w:bCs/>
              </w:rPr>
            </w:pPr>
            <w:r>
              <w:rPr>
                <w:b/>
                <w:bCs/>
                <w:noProof/>
                <w:lang w:eastAsia="de-DE"/>
              </w:rPr>
              <w:drawing>
                <wp:inline distT="0" distB="0" distL="0" distR="0">
                  <wp:extent cx="503525" cy="504000"/>
                  <wp:effectExtent l="19050" t="0" r="0" b="0"/>
                  <wp:docPr id="30" name="Bild 16" descr="C:\Users\Kristina\Documents\SVP CHEMIE\Piktogramm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stina\Documents\SVP CHEMIE\Piktogramme\Piktogramme\Ätzend.png"/>
                          <pic:cNvPicPr>
                            <a:picLocks noChangeAspect="1" noChangeArrowheads="1"/>
                          </pic:cNvPicPr>
                        </pic:nvPicPr>
                        <pic:blipFill>
                          <a:blip r:embed="rId24" cstate="print"/>
                          <a:srcRect/>
                          <a:stretch>
                            <a:fillRect/>
                          </a:stretch>
                        </pic:blipFill>
                        <pic:spPr bwMode="auto">
                          <a:xfrm>
                            <a:off x="0" y="0"/>
                            <a:ext cx="503525"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Pr>
                <w:noProof/>
                <w:lang w:eastAsia="de-DE"/>
              </w:rPr>
              <w:drawing>
                <wp:inline distT="0" distB="0" distL="0" distR="0">
                  <wp:extent cx="504190" cy="504190"/>
                  <wp:effectExtent l="0" t="0" r="0" b="0"/>
                  <wp:docPr id="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183F" w:rsidRPr="009C5E28" w:rsidRDefault="002F2B00" w:rsidP="0039183F">
            <w:pPr>
              <w:spacing w:after="0"/>
              <w:jc w:val="center"/>
            </w:pPr>
            <w:r>
              <w:rPr>
                <w:noProof/>
                <w:lang w:eastAsia="de-DE"/>
              </w:rPr>
              <w:drawing>
                <wp:inline distT="0" distB="0" distL="0" distR="0">
                  <wp:extent cx="503525" cy="504000"/>
                  <wp:effectExtent l="19050" t="0" r="0" b="0"/>
                  <wp:docPr id="31" name="Bild 17" descr="C:\Users\Kristin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ina\Documents\SVP CHEMIE\Piktogramme\Piktogramme\Brennbar.png"/>
                          <pic:cNvPicPr>
                            <a:picLocks noChangeAspect="1" noChangeArrowheads="1"/>
                          </pic:cNvPicPr>
                        </pic:nvPicPr>
                        <pic:blipFill>
                          <a:blip r:embed="rId25" cstate="print"/>
                          <a:srcRect/>
                          <a:stretch>
                            <a:fillRect/>
                          </a:stretch>
                        </pic:blipFill>
                        <pic:spPr bwMode="auto">
                          <a:xfrm>
                            <a:off x="0" y="0"/>
                            <a:ext cx="503525"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Pr>
                <w:noProof/>
                <w:lang w:eastAsia="de-DE"/>
              </w:rPr>
              <w:drawing>
                <wp:inline distT="0" distB="0" distL="0" distR="0">
                  <wp:extent cx="504190" cy="504190"/>
                  <wp:effectExtent l="0" t="0" r="0" b="0"/>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Pr>
                <w:noProof/>
                <w:lang w:eastAsia="de-DE"/>
              </w:rPr>
              <w:drawing>
                <wp:inline distT="0" distB="0" distL="0" distR="0">
                  <wp:extent cx="504190" cy="504190"/>
                  <wp:effectExtent l="0" t="0" r="0"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Pr>
                <w:noProof/>
                <w:lang w:eastAsia="de-DE"/>
              </w:rPr>
              <w:drawing>
                <wp:inline distT="0" distB="0" distL="0" distR="0">
                  <wp:extent cx="504190" cy="504190"/>
                  <wp:effectExtent l="0" t="0" r="0" b="0"/>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Pr>
                <w:noProof/>
                <w:lang w:eastAsia="de-DE"/>
              </w:rPr>
              <w:drawing>
                <wp:inline distT="0" distB="0" distL="0" distR="0">
                  <wp:extent cx="504190" cy="504190"/>
                  <wp:effectExtent l="0" t="0" r="0" b="0"/>
                  <wp:docPr id="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9183F" w:rsidRPr="009C5E28" w:rsidRDefault="0039183F" w:rsidP="0039183F">
            <w:pPr>
              <w:spacing w:after="0"/>
              <w:jc w:val="center"/>
            </w:pPr>
            <w:r>
              <w:rPr>
                <w:noProof/>
                <w:lang w:eastAsia="de-DE"/>
              </w:rPr>
              <w:drawing>
                <wp:inline distT="0" distB="0" distL="0" distR="0">
                  <wp:extent cx="511175" cy="511175"/>
                  <wp:effectExtent l="0" t="0" r="0" b="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9183F" w:rsidRPr="009C5E28" w:rsidRDefault="002F2B00" w:rsidP="0039183F">
            <w:pPr>
              <w:spacing w:after="0"/>
              <w:jc w:val="center"/>
            </w:pPr>
            <w:r>
              <w:rPr>
                <w:noProof/>
                <w:lang w:eastAsia="de-DE"/>
              </w:rPr>
              <w:drawing>
                <wp:inline distT="0" distB="0" distL="0" distR="0">
                  <wp:extent cx="503844" cy="504000"/>
                  <wp:effectExtent l="19050" t="0" r="0" b="0"/>
                  <wp:docPr id="32" name="Bild 18" descr="C:\Users\Kristina\Documents\SVP CHEMIE\Piktogramme\Piktogramme\Grau\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ristina\Documents\SVP CHEMIE\Piktogramme\Piktogramme\Grau\Umweltgefahr.png"/>
                          <pic:cNvPicPr>
                            <a:picLocks noChangeAspect="1" noChangeArrowheads="1"/>
                          </pic:cNvPicPr>
                        </pic:nvPicPr>
                        <pic:blipFill>
                          <a:blip r:embed="rId26" cstate="print"/>
                          <a:srcRect/>
                          <a:stretch>
                            <a:fillRect/>
                          </a:stretch>
                        </pic:blipFill>
                        <pic:spPr bwMode="auto">
                          <a:xfrm>
                            <a:off x="0" y="0"/>
                            <a:ext cx="503844" cy="504000"/>
                          </a:xfrm>
                          <a:prstGeom prst="rect">
                            <a:avLst/>
                          </a:prstGeom>
                          <a:noFill/>
                          <a:ln w="9525">
                            <a:noFill/>
                            <a:miter lim="800000"/>
                            <a:headEnd/>
                            <a:tailEnd/>
                          </a:ln>
                        </pic:spPr>
                      </pic:pic>
                    </a:graphicData>
                  </a:graphic>
                </wp:inline>
              </w:drawing>
            </w:r>
          </w:p>
        </w:tc>
      </w:tr>
    </w:tbl>
    <w:p w:rsidR="0039183F" w:rsidRDefault="0039183F" w:rsidP="0039183F">
      <w:pPr>
        <w:tabs>
          <w:tab w:val="left" w:pos="1701"/>
          <w:tab w:val="left" w:pos="1985"/>
        </w:tabs>
        <w:ind w:left="1980" w:hanging="1980"/>
      </w:pPr>
    </w:p>
    <w:p w:rsidR="0039183F" w:rsidRDefault="0039183F" w:rsidP="0039183F">
      <w:pPr>
        <w:tabs>
          <w:tab w:val="left" w:pos="1701"/>
          <w:tab w:val="left" w:pos="1985"/>
        </w:tabs>
        <w:ind w:left="1980" w:hanging="1980"/>
      </w:pPr>
      <w:r>
        <w:t xml:space="preserve">Materialien: </w:t>
      </w:r>
      <w:r>
        <w:tab/>
      </w:r>
      <w:r>
        <w:tab/>
        <w:t xml:space="preserve">Bürette, Trichter, </w:t>
      </w:r>
      <w:proofErr w:type="spellStart"/>
      <w:r>
        <w:t>Magnetrührer</w:t>
      </w:r>
      <w:proofErr w:type="spellEnd"/>
      <w:r>
        <w:t xml:space="preserve">, Pipette, </w:t>
      </w:r>
      <w:proofErr w:type="spellStart"/>
      <w:r>
        <w:t>Peleusball</w:t>
      </w:r>
      <w:proofErr w:type="spellEnd"/>
      <w:r>
        <w:t>, 2 Bechergläser (100 mL), Bergerglas (250 mL)</w:t>
      </w:r>
      <w:r w:rsidR="000714FE">
        <w:t>, Pinzette, Uhrglas</w:t>
      </w:r>
      <w:r w:rsidR="003536C5">
        <w:t>, Stativ, Muffe</w:t>
      </w:r>
    </w:p>
    <w:p w:rsidR="0039183F" w:rsidRPr="00ED07C2" w:rsidRDefault="0039183F" w:rsidP="0039183F">
      <w:pPr>
        <w:tabs>
          <w:tab w:val="left" w:pos="1701"/>
          <w:tab w:val="left" w:pos="1985"/>
        </w:tabs>
        <w:ind w:left="1980" w:hanging="1980"/>
      </w:pPr>
      <w:r>
        <w:t>Chemikalien:</w:t>
      </w:r>
      <w:r>
        <w:tab/>
      </w:r>
      <w:r>
        <w:tab/>
      </w:r>
      <w:r w:rsidR="00E2538D">
        <w:t>Rohrreiniger, Phenolphtalein-Lösung, Salzsäure (1M)</w:t>
      </w:r>
    </w:p>
    <w:p w:rsidR="0039183F" w:rsidRDefault="0039183F" w:rsidP="0039183F">
      <w:pPr>
        <w:tabs>
          <w:tab w:val="left" w:pos="1701"/>
          <w:tab w:val="left" w:pos="1985"/>
        </w:tabs>
        <w:ind w:left="1980" w:hanging="1980"/>
      </w:pPr>
      <w:r>
        <w:t xml:space="preserve">Durchführung: </w:t>
      </w:r>
      <w:r>
        <w:tab/>
      </w:r>
      <w:r>
        <w:tab/>
      </w:r>
      <w:r>
        <w:tab/>
      </w:r>
      <w:r w:rsidR="000714FE">
        <w:t xml:space="preserve">Es wird 1 g des Rohrreinigers auf einem Uhrglas abgewogen. Anschließend werden die im Rohrreiniger enthaltenen </w:t>
      </w:r>
      <w:r w:rsidR="009461D2">
        <w:t>metallischen Bestandteile (Alum</w:t>
      </w:r>
      <w:r w:rsidR="009461D2">
        <w:t>i</w:t>
      </w:r>
      <w:r w:rsidR="009461D2">
        <w:t>nium) mit einer Pinzette entfernt. Danach werden die weißen Kügelchen im 100 mL destillierten Wasser gelöst. Dazu kann der Magnetrührer zur Hilfe genommen werden. Zu der Lösung werden fünf Tropfen Phenolpht</w:t>
      </w:r>
      <w:r w:rsidR="009461D2">
        <w:t>a</w:t>
      </w:r>
      <w:r w:rsidR="009461D2">
        <w:t>lein-Lösung gegeben. Die Bürette wird über einen Trichter mit der Salzsä</w:t>
      </w:r>
      <w:r w:rsidR="009461D2">
        <w:t>u</w:t>
      </w:r>
      <w:r w:rsidR="009461D2">
        <w:t>relösung befüllt. Anschließend wird die Lösung bis zur Entfärbung titriert.</w:t>
      </w:r>
    </w:p>
    <w:p w:rsidR="0039183F" w:rsidRDefault="0039183F" w:rsidP="00212852">
      <w:pPr>
        <w:tabs>
          <w:tab w:val="left" w:pos="1701"/>
          <w:tab w:val="left" w:pos="1985"/>
        </w:tabs>
        <w:ind w:left="1980" w:hanging="1980"/>
      </w:pPr>
      <w:r>
        <w:t>Beobachtung:</w:t>
      </w:r>
      <w:r>
        <w:tab/>
      </w:r>
      <w:r>
        <w:tab/>
      </w:r>
      <w:r>
        <w:tab/>
        <w:t>Bei der Zugabe de</w:t>
      </w:r>
      <w:r w:rsidR="009461D2">
        <w:t xml:space="preserve">s Phenolphtaleins zeigt die Lösung eine pinke Färbung. Nach Ende der Titration hat sich die Lösung entfärbt und ist farblos </w:t>
      </w:r>
      <w:r>
        <w:t>(siehe Abbil</w:t>
      </w:r>
      <w:r w:rsidR="009461D2">
        <w:t>dung 2</w:t>
      </w:r>
      <w:r>
        <w:t>).</w:t>
      </w:r>
      <w:r w:rsidR="000C5E56">
        <w:t xml:space="preserve"> Dies ist nach einer Zugabe von 10 mL geschehen.</w:t>
      </w:r>
    </w:p>
    <w:p w:rsidR="0039183F" w:rsidRDefault="001E36E7" w:rsidP="001E36E7">
      <w:pPr>
        <w:keepNext/>
        <w:tabs>
          <w:tab w:val="left" w:pos="1701"/>
          <w:tab w:val="left" w:pos="1985"/>
        </w:tabs>
        <w:ind w:left="720"/>
        <w:jc w:val="center"/>
      </w:pPr>
      <w:r>
        <w:lastRenderedPageBreak/>
        <w:t xml:space="preserve">1. </w:t>
      </w:r>
      <w:r>
        <w:rPr>
          <w:noProof/>
          <w:lang w:eastAsia="de-DE"/>
        </w:rPr>
        <w:drawing>
          <wp:inline distT="0" distB="0" distL="0" distR="0">
            <wp:extent cx="1421295" cy="2880000"/>
            <wp:effectExtent l="19050" t="0" r="7455" b="0"/>
            <wp:docPr id="3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421295" cy="2880000"/>
                    </a:xfrm>
                    <a:prstGeom prst="rect">
                      <a:avLst/>
                    </a:prstGeom>
                    <a:noFill/>
                    <a:ln w="9525">
                      <a:noFill/>
                      <a:miter lim="800000"/>
                      <a:headEnd/>
                      <a:tailEnd/>
                    </a:ln>
                  </pic:spPr>
                </pic:pic>
              </a:graphicData>
            </a:graphic>
          </wp:inline>
        </w:drawing>
      </w:r>
      <w:r>
        <w:tab/>
        <w:t>2</w:t>
      </w:r>
      <w:r w:rsidR="0039183F">
        <w:t>.</w:t>
      </w:r>
      <w:r w:rsidR="0039183F">
        <w:rPr>
          <w:noProof/>
          <w:lang w:eastAsia="de-DE"/>
        </w:rPr>
        <w:t xml:space="preserve"> </w:t>
      </w:r>
      <w:r>
        <w:rPr>
          <w:noProof/>
          <w:lang w:eastAsia="de-DE"/>
        </w:rPr>
        <w:drawing>
          <wp:inline distT="0" distB="0" distL="0" distR="0">
            <wp:extent cx="1118052" cy="2880000"/>
            <wp:effectExtent l="19050" t="0" r="5898" b="0"/>
            <wp:docPr id="3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118052" cy="2880000"/>
                    </a:xfrm>
                    <a:prstGeom prst="rect">
                      <a:avLst/>
                    </a:prstGeom>
                    <a:noFill/>
                    <a:ln w="9525">
                      <a:noFill/>
                      <a:miter lim="800000"/>
                      <a:headEnd/>
                      <a:tailEnd/>
                    </a:ln>
                  </pic:spPr>
                </pic:pic>
              </a:graphicData>
            </a:graphic>
          </wp:inline>
        </w:drawing>
      </w:r>
    </w:p>
    <w:p w:rsidR="0039183F" w:rsidRDefault="0039183F" w:rsidP="0039183F">
      <w:pPr>
        <w:pStyle w:val="Beschriftung"/>
        <w:jc w:val="center"/>
      </w:pPr>
      <w:r>
        <w:t xml:space="preserve">Abb. </w:t>
      </w:r>
      <w:r w:rsidR="009461D2">
        <w:t>2</w:t>
      </w:r>
      <w:r>
        <w:t xml:space="preserve"> – </w:t>
      </w:r>
      <w:r>
        <w:rPr>
          <w:noProof/>
        </w:rPr>
        <w:t xml:space="preserve">1. </w:t>
      </w:r>
      <w:r w:rsidR="001E36E7">
        <w:rPr>
          <w:noProof/>
        </w:rPr>
        <w:t>Gelöster Rohrreiniger</w:t>
      </w:r>
      <w:r>
        <w:rPr>
          <w:noProof/>
        </w:rPr>
        <w:t xml:space="preserve"> vor der Zugabe von </w:t>
      </w:r>
      <w:r w:rsidR="001E36E7">
        <w:rPr>
          <w:noProof/>
        </w:rPr>
        <w:t>Salzsäure</w:t>
      </w:r>
      <w:r>
        <w:rPr>
          <w:noProof/>
        </w:rPr>
        <w:t xml:space="preserve">-Lösung. 2. </w:t>
      </w:r>
      <w:r w:rsidR="001E36E7">
        <w:rPr>
          <w:noProof/>
        </w:rPr>
        <w:t>Gelöster Rohrreiniger</w:t>
      </w:r>
      <w:r>
        <w:rPr>
          <w:noProof/>
        </w:rPr>
        <w:t xml:space="preserve"> nach Zugabe von </w:t>
      </w:r>
      <w:r w:rsidR="001E36E7">
        <w:rPr>
          <w:noProof/>
        </w:rPr>
        <w:t>Salzsäure</w:t>
      </w:r>
      <w:r>
        <w:rPr>
          <w:noProof/>
        </w:rPr>
        <w:t>-Lösung.</w:t>
      </w:r>
    </w:p>
    <w:p w:rsidR="0039183F" w:rsidRDefault="0039183F" w:rsidP="0039183F">
      <w:pPr>
        <w:tabs>
          <w:tab w:val="left" w:pos="1701"/>
          <w:tab w:val="left" w:pos="1985"/>
        </w:tabs>
        <w:ind w:left="2124" w:hanging="2124"/>
        <w:rPr>
          <w:noProof/>
        </w:rPr>
      </w:pPr>
      <w:r>
        <w:t>Deutung:</w:t>
      </w:r>
      <w:r>
        <w:tab/>
      </w:r>
      <w:r>
        <w:tab/>
      </w:r>
      <w:r>
        <w:tab/>
      </w:r>
      <w:r w:rsidR="00212852">
        <w:t>Phenolphtal</w:t>
      </w:r>
      <w:r w:rsidR="005E0499">
        <w:t>ein ist ein Indikator, der eine</w:t>
      </w:r>
      <w:r w:rsidR="00212852">
        <w:t xml:space="preserve"> rosa </w:t>
      </w:r>
      <w:r w:rsidR="000C5E56">
        <w:t xml:space="preserve">Färbung </w:t>
      </w:r>
      <w:r w:rsidR="005E0499">
        <w:t xml:space="preserve">in </w:t>
      </w:r>
      <w:r w:rsidR="000C5E56">
        <w:t>alkalischen L</w:t>
      </w:r>
      <w:r w:rsidR="000C5E56">
        <w:t>ö</w:t>
      </w:r>
      <w:r w:rsidR="000C5E56">
        <w:t>sungen zeigt</w:t>
      </w:r>
      <w:r w:rsidR="00212852">
        <w:t xml:space="preserve">. </w:t>
      </w:r>
      <w:r w:rsidR="006F225F">
        <w:t>Daher tritt diese Färbung bei der Zugabe des Phenolpht</w:t>
      </w:r>
      <w:r w:rsidR="006F225F">
        <w:t>a</w:t>
      </w:r>
      <w:r w:rsidR="006F225F">
        <w:t xml:space="preserve">leins zum gelösten Rohrreiniger auf, weil </w:t>
      </w:r>
      <w:proofErr w:type="gramStart"/>
      <w:r w:rsidR="006F225F">
        <w:t>dieser</w:t>
      </w:r>
      <w:proofErr w:type="gramEnd"/>
      <w:r w:rsidR="006F225F">
        <w:t xml:space="preserve"> Natriumhydroxid enthält. Nach der Titration mit Salzsäure ändert sich die Färbung der Lösung, da aufgrund der Neutralisationsreaktion von Hydroxid-Ionen mit Protonen Wasser entsteht. Die Hydroxid-Ionen werden verbraucht und </w:t>
      </w:r>
      <w:r w:rsidR="000C5E56">
        <w:t>der pH-Wert nimmt ab</w:t>
      </w:r>
      <w:r w:rsidR="006F225F">
        <w:t xml:space="preserve">. Dieser Farbumschlag war nach einer Salzsäurezugabe von </w:t>
      </w:r>
      <w:r w:rsidR="00497B79">
        <w:t xml:space="preserve">10 mL </w:t>
      </w:r>
      <w:r w:rsidR="006F225F">
        <w:t>zu beobachten.</w:t>
      </w:r>
      <w:r w:rsidR="005011EF">
        <w:t xml:space="preserve"> Es läuft folgende </w:t>
      </w:r>
      <w:r w:rsidR="00941C2F">
        <w:t>Neutralisationsr</w:t>
      </w:r>
      <w:r w:rsidR="005011EF">
        <w:t>eaktion ab:</w:t>
      </w:r>
    </w:p>
    <w:p w:rsidR="0039183F" w:rsidRPr="005011EF" w:rsidRDefault="0039183F" w:rsidP="0039183F">
      <w:pPr>
        <w:tabs>
          <w:tab w:val="left" w:pos="1701"/>
          <w:tab w:val="left" w:pos="1985"/>
        </w:tabs>
        <w:ind w:left="2124" w:hanging="2124"/>
        <w:rPr>
          <w:noProof/>
        </w:rPr>
      </w:pPr>
      <w:r>
        <w:rPr>
          <w:noProof/>
        </w:rPr>
        <w:tab/>
      </w:r>
      <w:r>
        <w:rPr>
          <w:noProof/>
        </w:rPr>
        <w:tab/>
      </w:r>
      <w:r>
        <w:rPr>
          <w:noProof/>
        </w:rPr>
        <w:tab/>
      </w:r>
      <w:r w:rsidR="005011EF" w:rsidRPr="005011EF">
        <w:rPr>
          <w:noProof/>
        </w:rPr>
        <w:t>OH</w:t>
      </w:r>
      <w:r w:rsidR="005011EF" w:rsidRPr="005011EF">
        <w:rPr>
          <w:noProof/>
          <w:vertAlign w:val="superscript"/>
        </w:rPr>
        <w:t>-</w:t>
      </w:r>
      <w:r w:rsidR="005011EF" w:rsidRPr="005011EF">
        <w:rPr>
          <w:noProof/>
          <w:vertAlign w:val="subscript"/>
        </w:rPr>
        <w:t>(aq)</w:t>
      </w:r>
      <w:r w:rsidR="005011EF" w:rsidRPr="005011EF">
        <w:rPr>
          <w:noProof/>
        </w:rPr>
        <w:t xml:space="preserve"> + H</w:t>
      </w:r>
      <w:r w:rsidR="005011EF" w:rsidRPr="005011EF">
        <w:rPr>
          <w:noProof/>
          <w:vertAlign w:val="superscript"/>
        </w:rPr>
        <w:t>+</w:t>
      </w:r>
      <w:r w:rsidR="005011EF" w:rsidRPr="005011EF">
        <w:rPr>
          <w:noProof/>
          <w:vertAlign w:val="subscript"/>
        </w:rPr>
        <w:t>(aq)</w:t>
      </w:r>
      <w:r w:rsidR="005011EF" w:rsidRPr="005011EF">
        <w:rPr>
          <w:noProof/>
        </w:rPr>
        <w:t xml:space="preserve"> ⇌ H</w:t>
      </w:r>
      <w:r w:rsidR="005011EF" w:rsidRPr="005011EF">
        <w:rPr>
          <w:noProof/>
          <w:vertAlign w:val="subscript"/>
        </w:rPr>
        <w:t>2</w:t>
      </w:r>
      <w:r w:rsidR="005011EF">
        <w:rPr>
          <w:noProof/>
        </w:rPr>
        <w:t>O</w:t>
      </w:r>
      <w:r w:rsidR="005011EF" w:rsidRPr="005011EF">
        <w:rPr>
          <w:noProof/>
          <w:vertAlign w:val="subscript"/>
        </w:rPr>
        <w:t>(l)</w:t>
      </w:r>
    </w:p>
    <w:p w:rsidR="0039183F" w:rsidRDefault="0039183F" w:rsidP="00FF03F5">
      <w:pPr>
        <w:tabs>
          <w:tab w:val="left" w:pos="1701"/>
          <w:tab w:val="left" w:pos="1985"/>
        </w:tabs>
        <w:ind w:left="2124" w:hanging="2124"/>
        <w:rPr>
          <w:noProof/>
        </w:rPr>
      </w:pPr>
      <w:r w:rsidRPr="005011EF">
        <w:rPr>
          <w:noProof/>
        </w:rPr>
        <w:tab/>
      </w:r>
      <w:r w:rsidRPr="005011EF">
        <w:rPr>
          <w:noProof/>
        </w:rPr>
        <w:tab/>
      </w:r>
      <w:r w:rsidRPr="005011EF">
        <w:rPr>
          <w:noProof/>
        </w:rPr>
        <w:tab/>
      </w:r>
      <w:r w:rsidR="00FF03F5">
        <w:rPr>
          <w:noProof/>
        </w:rPr>
        <w:t xml:space="preserve">Mithilfe des verbrauchten Salzsäurevolumens kann nun  berechnet werden, wie viel festes Natriumhydroxid in der eigenwogenen Masse des Rohrreinigers enthalten war. Dazu </w:t>
      </w:r>
      <w:r w:rsidR="00973C54">
        <w:rPr>
          <w:noProof/>
        </w:rPr>
        <w:t xml:space="preserve">werden </w:t>
      </w:r>
      <w:r w:rsidR="00FF03F5">
        <w:rPr>
          <w:noProof/>
        </w:rPr>
        <w:t>folgende Formel</w:t>
      </w:r>
      <w:r w:rsidR="00973C54">
        <w:rPr>
          <w:noProof/>
        </w:rPr>
        <w:t>n</w:t>
      </w:r>
      <w:r w:rsidR="00FF03F5">
        <w:rPr>
          <w:noProof/>
        </w:rPr>
        <w:t xml:space="preserve"> verwendet:</w:t>
      </w:r>
    </w:p>
    <w:p w:rsidR="009A3BCF" w:rsidRDefault="00001514" w:rsidP="009A3BCF">
      <w:pPr>
        <w:tabs>
          <w:tab w:val="left" w:pos="1701"/>
          <w:tab w:val="left" w:pos="1985"/>
        </w:tabs>
        <w:ind w:left="2124" w:firstLine="3"/>
        <w:rPr>
          <w:rFonts w:eastAsiaTheme="minorEastAsia"/>
          <w:i/>
          <w:noProof/>
          <w:color w:val="auto"/>
        </w:rPr>
      </w:pPr>
      <m:oMathPara>
        <m:oMath>
          <m:r>
            <w:rPr>
              <w:rFonts w:ascii="Cambria Math" w:eastAsiaTheme="minorEastAsia" w:hAnsi="Cambria Math"/>
              <w:noProof/>
              <w:color w:val="auto"/>
            </w:rPr>
            <m:t xml:space="preserve">c= </m:t>
          </m:r>
          <m:f>
            <m:fPr>
              <m:ctrlPr>
                <w:rPr>
                  <w:rFonts w:ascii="Cambria Math" w:eastAsiaTheme="minorEastAsia" w:hAnsi="Cambria Math"/>
                  <w:i/>
                  <w:noProof/>
                  <w:color w:val="auto"/>
                </w:rPr>
              </m:ctrlPr>
            </m:fPr>
            <m:num>
              <m:r>
                <w:rPr>
                  <w:rFonts w:ascii="Cambria Math" w:eastAsiaTheme="minorEastAsia" w:hAnsi="Cambria Math"/>
                  <w:noProof/>
                  <w:color w:val="auto"/>
                </w:rPr>
                <m:t>n</m:t>
              </m:r>
            </m:num>
            <m:den>
              <m:r>
                <w:rPr>
                  <w:rFonts w:ascii="Cambria Math" w:eastAsiaTheme="minorEastAsia" w:hAnsi="Cambria Math"/>
                  <w:noProof/>
                  <w:color w:val="auto"/>
                </w:rPr>
                <m:t>V</m:t>
              </m:r>
            </m:den>
          </m:f>
          <m:r>
            <w:rPr>
              <w:rFonts w:ascii="Cambria Math" w:eastAsiaTheme="minorEastAsia" w:hAnsi="Cambria Math"/>
              <w:noProof/>
              <w:color w:val="auto"/>
            </w:rPr>
            <m:t xml:space="preserve"> </m:t>
          </m:r>
          <m:r>
            <m:rPr>
              <m:sty m:val="p"/>
            </m:rPr>
            <w:rPr>
              <w:rFonts w:ascii="Cambria Math" w:eastAsiaTheme="minorEastAsia" w:hAnsi="Cambria Math"/>
              <w:noProof/>
              <w:color w:val="auto"/>
            </w:rPr>
            <m:t xml:space="preserve">und </m:t>
          </m:r>
          <m:r>
            <w:rPr>
              <w:rFonts w:ascii="Cambria Math" w:eastAsiaTheme="minorEastAsia" w:hAnsi="Cambria Math"/>
              <w:noProof/>
              <w:color w:val="auto"/>
            </w:rPr>
            <m:t>n=</m:t>
          </m:r>
          <m:f>
            <m:fPr>
              <m:ctrlPr>
                <w:rPr>
                  <w:rFonts w:ascii="Cambria Math" w:eastAsiaTheme="minorEastAsia" w:hAnsi="Cambria Math"/>
                  <w:i/>
                  <w:noProof/>
                  <w:color w:val="auto"/>
                </w:rPr>
              </m:ctrlPr>
            </m:fPr>
            <m:num>
              <m:r>
                <w:rPr>
                  <w:rFonts w:ascii="Cambria Math" w:eastAsiaTheme="minorEastAsia" w:hAnsi="Cambria Math"/>
                  <w:noProof/>
                  <w:color w:val="auto"/>
                </w:rPr>
                <m:t>m</m:t>
              </m:r>
            </m:num>
            <m:den>
              <m:r>
                <w:rPr>
                  <w:rFonts w:ascii="Cambria Math" w:eastAsiaTheme="minorEastAsia" w:hAnsi="Cambria Math"/>
                  <w:noProof/>
                  <w:color w:val="auto"/>
                </w:rPr>
                <m:t>M</m:t>
              </m:r>
            </m:den>
          </m:f>
        </m:oMath>
      </m:oMathPara>
    </w:p>
    <w:p w:rsidR="00001514" w:rsidRDefault="00001514" w:rsidP="009A3BCF">
      <w:pPr>
        <w:tabs>
          <w:tab w:val="left" w:pos="1701"/>
          <w:tab w:val="left" w:pos="1985"/>
        </w:tabs>
        <w:ind w:left="2124" w:firstLine="3"/>
        <w:rPr>
          <w:rFonts w:eastAsiaTheme="minorEastAsia"/>
          <w:noProof/>
          <w:color w:val="auto"/>
        </w:rPr>
      </w:pPr>
      <w:r>
        <w:rPr>
          <w:rFonts w:eastAsiaTheme="minorEastAsia"/>
          <w:noProof/>
          <w:color w:val="auto"/>
        </w:rPr>
        <w:t>Die Formel der Stoffmengenkonzentration wird nach der Stoffmenge umgestellt und es wird folgendes erhalten:</w:t>
      </w:r>
    </w:p>
    <w:p w:rsidR="00001514" w:rsidRPr="00973C54" w:rsidRDefault="00001514" w:rsidP="009A3BCF">
      <w:pPr>
        <w:tabs>
          <w:tab w:val="left" w:pos="1701"/>
          <w:tab w:val="left" w:pos="1985"/>
        </w:tabs>
        <w:ind w:left="2124" w:firstLine="3"/>
        <w:rPr>
          <w:rFonts w:eastAsiaTheme="minorEastAsia"/>
          <w:i/>
          <w:noProof/>
          <w:color w:val="auto"/>
        </w:rPr>
      </w:pPr>
      <m:oMathPara>
        <m:oMath>
          <m:r>
            <w:rPr>
              <w:rFonts w:ascii="Cambria Math" w:eastAsiaTheme="minorEastAsia" w:hAnsi="Cambria Math"/>
              <w:noProof/>
              <w:color w:val="auto"/>
            </w:rPr>
            <m:t xml:space="preserve">n=c∙V </m:t>
          </m:r>
          <m:r>
            <m:rPr>
              <m:sty m:val="p"/>
            </m:rPr>
            <w:rPr>
              <w:rFonts w:ascii="Cambria Math" w:eastAsiaTheme="minorEastAsia" w:hAnsi="Cambria Math"/>
              <w:noProof/>
              <w:color w:val="auto"/>
            </w:rPr>
            <m:t>und </m:t>
          </m:r>
          <m:r>
            <w:rPr>
              <w:rFonts w:ascii="Cambria Math" w:eastAsiaTheme="minorEastAsia" w:hAnsi="Cambria Math"/>
              <w:noProof/>
              <w:color w:val="auto"/>
            </w:rPr>
            <m:t xml:space="preserve">n= </m:t>
          </m:r>
          <m:f>
            <m:fPr>
              <m:ctrlPr>
                <w:rPr>
                  <w:rFonts w:ascii="Cambria Math" w:eastAsiaTheme="minorEastAsia" w:hAnsi="Cambria Math"/>
                  <w:i/>
                  <w:noProof/>
                  <w:color w:val="auto"/>
                </w:rPr>
              </m:ctrlPr>
            </m:fPr>
            <m:num>
              <m:r>
                <w:rPr>
                  <w:rFonts w:ascii="Cambria Math" w:eastAsiaTheme="minorEastAsia" w:hAnsi="Cambria Math"/>
                  <w:noProof/>
                  <w:color w:val="auto"/>
                </w:rPr>
                <m:t>m</m:t>
              </m:r>
            </m:num>
            <m:den>
              <m:r>
                <w:rPr>
                  <w:rFonts w:ascii="Cambria Math" w:eastAsiaTheme="minorEastAsia" w:hAnsi="Cambria Math"/>
                  <w:noProof/>
                  <w:color w:val="auto"/>
                </w:rPr>
                <m:t>M</m:t>
              </m:r>
            </m:den>
          </m:f>
        </m:oMath>
      </m:oMathPara>
    </w:p>
    <w:p w:rsidR="00973C54" w:rsidRPr="00973C54" w:rsidRDefault="00973C54" w:rsidP="009A3BCF">
      <w:pPr>
        <w:tabs>
          <w:tab w:val="left" w:pos="1701"/>
          <w:tab w:val="left" w:pos="1985"/>
        </w:tabs>
        <w:ind w:left="2124" w:firstLine="3"/>
        <w:rPr>
          <w:rFonts w:eastAsiaTheme="minorEastAsia"/>
          <w:noProof/>
          <w:color w:val="auto"/>
        </w:rPr>
      </w:pPr>
      <w:r>
        <w:rPr>
          <w:rFonts w:eastAsiaTheme="minorEastAsia"/>
          <w:noProof/>
          <w:color w:val="auto"/>
        </w:rPr>
        <w:t>nach der obigen Reaktionsgleichung gilt demnach:</w:t>
      </w:r>
    </w:p>
    <w:p w:rsidR="004F1604" w:rsidRPr="009A3BCF" w:rsidRDefault="004F1604" w:rsidP="004F1604">
      <w:pPr>
        <w:tabs>
          <w:tab w:val="left" w:pos="1701"/>
          <w:tab w:val="left" w:pos="1985"/>
        </w:tabs>
        <w:ind w:left="2124" w:hanging="2124"/>
        <w:rPr>
          <w:rFonts w:eastAsiaTheme="minorEastAsia"/>
          <w:noProof/>
          <w:color w:val="auto"/>
        </w:rPr>
      </w:pPr>
      <m:oMathPara>
        <m:oMath>
          <m:r>
            <w:rPr>
              <w:rFonts w:ascii="Cambria Math" w:eastAsiaTheme="minorEastAsia" w:hAnsi="Cambria Math"/>
              <w:noProof/>
              <w:color w:val="auto"/>
              <w:vertAlign w:val="superscript"/>
            </w:rPr>
            <m:t>V</m:t>
          </m:r>
          <m:d>
            <m:dPr>
              <m:ctrlPr>
                <w:rPr>
                  <w:rFonts w:ascii="Cambria Math" w:eastAsiaTheme="minorEastAsia" w:hAnsi="Cambria Math"/>
                  <w:noProof/>
                  <w:color w:val="auto"/>
                  <w:vertAlign w:val="superscript"/>
                </w:rPr>
              </m:ctrlPr>
            </m:dPr>
            <m:e>
              <m:r>
                <m:rPr>
                  <m:sty m:val="p"/>
                </m:rPr>
                <w:rPr>
                  <w:rFonts w:ascii="Cambria Math" w:eastAsiaTheme="minorEastAsia" w:hAnsi="Cambria Math"/>
                  <w:noProof/>
                  <w:color w:val="auto"/>
                  <w:vertAlign w:val="superscript"/>
                </w:rPr>
                <m:t>HCl</m:t>
              </m:r>
            </m:e>
          </m:d>
          <m:r>
            <m:rPr>
              <m:sty m:val="p"/>
            </m:rPr>
            <w:rPr>
              <w:rFonts w:ascii="Cambria Math" w:eastAsiaTheme="minorEastAsia" w:hAnsi="Cambria Math"/>
              <w:noProof/>
              <w:color w:val="auto"/>
              <w:vertAlign w:val="superscript"/>
            </w:rPr>
            <m:t xml:space="preserve">= </m:t>
          </m:r>
          <m:r>
            <w:rPr>
              <w:rFonts w:ascii="Cambria Math" w:eastAsiaTheme="minorEastAsia" w:hAnsi="Cambria Math"/>
              <w:noProof/>
              <w:color w:val="auto"/>
              <w:vertAlign w:val="superscript"/>
            </w:rPr>
            <m:t>m</m:t>
          </m:r>
          <m:d>
            <m:dPr>
              <m:ctrlPr>
                <w:rPr>
                  <w:rFonts w:ascii="Cambria Math" w:eastAsiaTheme="minorEastAsia" w:hAnsi="Cambria Math"/>
                  <w:noProof/>
                  <w:color w:val="auto"/>
                  <w:vertAlign w:val="superscript"/>
                </w:rPr>
              </m:ctrlPr>
            </m:dPr>
            <m:e>
              <m:sSup>
                <m:sSupPr>
                  <m:ctrlPr>
                    <w:rPr>
                      <w:rFonts w:ascii="Cambria Math" w:eastAsiaTheme="minorEastAsia" w:hAnsi="Cambria Math"/>
                      <w:noProof/>
                      <w:color w:val="auto"/>
                      <w:vertAlign w:val="superscript"/>
                    </w:rPr>
                  </m:ctrlPr>
                </m:sSupPr>
                <m:e>
                  <m:r>
                    <m:rPr>
                      <m:sty m:val="p"/>
                    </m:rPr>
                    <w:rPr>
                      <w:rFonts w:ascii="Cambria Math" w:eastAsiaTheme="minorEastAsia" w:hAnsi="Cambria Math"/>
                      <w:noProof/>
                      <w:color w:val="auto"/>
                      <w:vertAlign w:val="superscript"/>
                    </w:rPr>
                    <m:t>OH</m:t>
                  </m:r>
                </m:e>
                <m:sup>
                  <m:r>
                    <m:rPr>
                      <m:sty m:val="p"/>
                    </m:rPr>
                    <w:rPr>
                      <w:rFonts w:ascii="Cambria Math" w:eastAsiaTheme="minorEastAsia" w:hAnsi="Cambria Math"/>
                      <w:noProof/>
                      <w:color w:val="auto"/>
                      <w:vertAlign w:val="superscript"/>
                    </w:rPr>
                    <m:t>-</m:t>
                  </m:r>
                </m:sup>
              </m:sSup>
            </m:e>
          </m:d>
        </m:oMath>
      </m:oMathPara>
    </w:p>
    <w:p w:rsidR="00FF03F5" w:rsidRDefault="004F1604" w:rsidP="00FF03F5">
      <w:pPr>
        <w:tabs>
          <w:tab w:val="left" w:pos="1701"/>
          <w:tab w:val="left" w:pos="1985"/>
        </w:tabs>
        <w:ind w:left="2124" w:hanging="2124"/>
        <w:rPr>
          <w:rFonts w:eastAsiaTheme="minorEastAsia"/>
          <w:noProof/>
        </w:rPr>
      </w:pPr>
      <w:r>
        <w:rPr>
          <w:rFonts w:eastAsiaTheme="minorEastAsia"/>
          <w:noProof/>
        </w:rPr>
        <w:lastRenderedPageBreak/>
        <w:tab/>
      </w:r>
      <w:r>
        <w:rPr>
          <w:rFonts w:eastAsiaTheme="minorEastAsia"/>
          <w:noProof/>
        </w:rPr>
        <w:tab/>
      </w:r>
      <w:r>
        <w:rPr>
          <w:rFonts w:eastAsiaTheme="minorEastAsia"/>
          <w:noProof/>
        </w:rPr>
        <w:tab/>
        <w:t>Die Werte werden in die Formel eingesetzt, somit ergibt sich:</w:t>
      </w:r>
    </w:p>
    <w:p w:rsidR="004F1604" w:rsidRPr="00FF03F5" w:rsidRDefault="00497B79" w:rsidP="00FF03F5">
      <w:pPr>
        <w:tabs>
          <w:tab w:val="left" w:pos="1701"/>
          <w:tab w:val="left" w:pos="1985"/>
        </w:tabs>
        <w:ind w:left="2124" w:hanging="2124"/>
        <w:rPr>
          <w:rFonts w:eastAsiaTheme="minorEastAsia"/>
          <w:noProof/>
        </w:rPr>
      </w:pPr>
      <m:oMathPara>
        <m:oMath>
          <m:r>
            <w:rPr>
              <w:rFonts w:ascii="Cambria Math" w:eastAsiaTheme="minorEastAsia" w:hAnsi="Cambria Math"/>
              <w:noProof/>
              <w:vertAlign w:val="superscript"/>
            </w:rPr>
            <m:t xml:space="preserve">10 </m:t>
          </m:r>
          <m:r>
            <m:rPr>
              <m:sty m:val="p"/>
            </m:rPr>
            <w:rPr>
              <w:rFonts w:ascii="Cambria Math" w:eastAsiaTheme="minorEastAsia" w:hAnsi="Cambria Math"/>
              <w:noProof/>
              <w:vertAlign w:val="superscript"/>
            </w:rPr>
            <m:t xml:space="preserve">mL= </m:t>
          </m:r>
          <m:r>
            <w:rPr>
              <w:rFonts w:ascii="Cambria Math" w:eastAsiaTheme="minorEastAsia" w:hAnsi="Cambria Math"/>
              <w:noProof/>
              <w:vertAlign w:val="superscript"/>
            </w:rPr>
            <m:t xml:space="preserve">10 </m:t>
          </m:r>
          <m:r>
            <m:rPr>
              <m:sty m:val="p"/>
            </m:rPr>
            <w:rPr>
              <w:rFonts w:ascii="Cambria Math" w:eastAsiaTheme="minorEastAsia" w:hAnsi="Cambria Math"/>
              <w:noProof/>
              <w:vertAlign w:val="superscript"/>
            </w:rPr>
            <m:t>g</m:t>
          </m:r>
          <m:r>
            <w:rPr>
              <w:rFonts w:ascii="Cambria Math" w:eastAsiaTheme="minorEastAsia" w:hAnsi="Cambria Math"/>
              <w:noProof/>
              <w:vertAlign w:val="superscript"/>
            </w:rPr>
            <m:t xml:space="preserve"> </m:t>
          </m:r>
        </m:oMath>
      </m:oMathPara>
    </w:p>
    <w:p w:rsidR="0039183F" w:rsidRPr="0056694B" w:rsidRDefault="0039183F" w:rsidP="0039183F">
      <w:pPr>
        <w:spacing w:line="276" w:lineRule="auto"/>
        <w:rPr>
          <w:rFonts w:eastAsiaTheme="minorEastAsia"/>
          <w:noProof/>
        </w:rPr>
      </w:pPr>
      <w:r>
        <w:t>Entsorgung:</w:t>
      </w:r>
      <w:r>
        <w:tab/>
        <w:t xml:space="preserve">           </w:t>
      </w:r>
      <w:r>
        <w:tab/>
      </w:r>
      <w:r w:rsidR="00D64EB8">
        <w:t>Die Lösung kann über den Abfluss entsorgt werden.</w:t>
      </w:r>
      <w:r>
        <w:t xml:space="preserve"> </w:t>
      </w:r>
    </w:p>
    <w:p w:rsidR="0039183F" w:rsidRPr="00FD13F4" w:rsidRDefault="0039183F" w:rsidP="00F526AE">
      <w:pPr>
        <w:spacing w:line="276" w:lineRule="auto"/>
        <w:rPr>
          <w:rFonts w:asciiTheme="majorHAnsi" w:eastAsiaTheme="majorEastAsia" w:hAnsiTheme="majorHAnsi" w:cstheme="majorBidi"/>
          <w:b/>
          <w:bCs/>
          <w:i/>
          <w:sz w:val="28"/>
          <w:szCs w:val="28"/>
        </w:rPr>
      </w:pPr>
      <w:r>
        <w:t>Literatur:</w:t>
      </w:r>
      <w:r>
        <w:tab/>
      </w:r>
      <w:r>
        <w:tab/>
      </w:r>
      <w:r w:rsidR="003E148E">
        <w:rPr>
          <w:color w:val="auto"/>
        </w:rPr>
        <w:t>E.M. Neher,</w:t>
      </w:r>
      <w:r w:rsidR="00FD13F4">
        <w:rPr>
          <w:color w:val="auto"/>
        </w:rPr>
        <w:t xml:space="preserve"> R. Herbst-Irmer</w:t>
      </w:r>
      <w:r w:rsidR="003E148E">
        <w:rPr>
          <w:color w:val="auto"/>
        </w:rPr>
        <w:t xml:space="preserve"> </w:t>
      </w:r>
      <w:proofErr w:type="spellStart"/>
      <w:r w:rsidR="00FD13F4" w:rsidRPr="00FD13F4">
        <w:rPr>
          <w:rStyle w:val="HTMLZitat"/>
          <w:i w:val="0"/>
        </w:rPr>
        <w:t>shelx.uni</w:t>
      </w:r>
      <w:proofErr w:type="spellEnd"/>
      <w:r w:rsidR="00FD13F4" w:rsidRPr="00FD13F4">
        <w:rPr>
          <w:rStyle w:val="HTMLZitat"/>
          <w:i w:val="0"/>
        </w:rPr>
        <w:t>-</w:t>
      </w:r>
      <w:r w:rsidR="00FD13F4">
        <w:rPr>
          <w:rStyle w:val="HTMLZitat"/>
          <w:i w:val="0"/>
        </w:rPr>
        <w:tab/>
      </w:r>
      <w:r w:rsidR="00FD13F4">
        <w:rPr>
          <w:rStyle w:val="HTMLZitat"/>
          <w:i w:val="0"/>
        </w:rPr>
        <w:tab/>
      </w:r>
      <w:r w:rsidR="00FD13F4">
        <w:rPr>
          <w:rStyle w:val="HTMLZitat"/>
          <w:i w:val="0"/>
        </w:rPr>
        <w:tab/>
      </w:r>
      <w:r w:rsidR="00FD13F4">
        <w:rPr>
          <w:rStyle w:val="HTMLZitat"/>
          <w:i w:val="0"/>
        </w:rPr>
        <w:tab/>
      </w:r>
      <w:r w:rsidR="00FD13F4">
        <w:rPr>
          <w:rStyle w:val="HTMLZitat"/>
          <w:i w:val="0"/>
        </w:rPr>
        <w:tab/>
      </w:r>
      <w:r w:rsidR="00FD13F4">
        <w:rPr>
          <w:rStyle w:val="HTMLZitat"/>
          <w:i w:val="0"/>
        </w:rPr>
        <w:tab/>
      </w:r>
      <w:r w:rsidR="00FD13F4">
        <w:rPr>
          <w:rStyle w:val="HTMLZitat"/>
          <w:i w:val="0"/>
        </w:rPr>
        <w:tab/>
      </w:r>
      <w:r w:rsidR="00FD13F4" w:rsidRPr="00FD13F4">
        <w:rPr>
          <w:rStyle w:val="HTMLZitat"/>
          <w:i w:val="0"/>
        </w:rPr>
        <w:t xml:space="preserve">ac.gwdg.de/~rherbst/eirmer/html/Projekttage_aus/Saeuren_Basen.doc, </w:t>
      </w:r>
      <w:r w:rsidR="00FD13F4">
        <w:rPr>
          <w:rStyle w:val="HTMLZitat"/>
          <w:i w:val="0"/>
        </w:rPr>
        <w:tab/>
      </w:r>
      <w:r w:rsidR="00FD13F4">
        <w:rPr>
          <w:rStyle w:val="HTMLZitat"/>
          <w:i w:val="0"/>
        </w:rPr>
        <w:tab/>
      </w:r>
      <w:r w:rsidR="00FD13F4">
        <w:rPr>
          <w:rStyle w:val="HTMLZitat"/>
          <w:i w:val="0"/>
        </w:rPr>
        <w:tab/>
      </w:r>
      <w:r w:rsidR="00FD13F4" w:rsidRPr="00FD13F4">
        <w:rPr>
          <w:rStyle w:val="HTMLZitat"/>
          <w:i w:val="0"/>
        </w:rPr>
        <w:t>31.07.16 (Zuletzt abgerufen am 31.07.16 um 10:47 Uhr).</w:t>
      </w:r>
    </w:p>
    <w:p w:rsidR="0039183F" w:rsidRDefault="0039183F" w:rsidP="0039183F">
      <w:pPr>
        <w:tabs>
          <w:tab w:val="left" w:pos="1701"/>
          <w:tab w:val="left" w:pos="1985"/>
        </w:tabs>
        <w:ind w:left="1980" w:hanging="1980"/>
      </w:pPr>
    </w:p>
    <w:p w:rsidR="00527710" w:rsidRDefault="00D837BB" w:rsidP="005E0499">
      <w:pPr>
        <w:tabs>
          <w:tab w:val="left" w:pos="1701"/>
          <w:tab w:val="left" w:pos="1985"/>
        </w:tabs>
        <w:ind w:left="1980" w:hanging="1980"/>
      </w:pPr>
      <w:r>
        <w:pict>
          <v:shape id="_x0000_s1167" type="#_x0000_t202" style="width:462.45pt;height:239.9pt;mso-position-horizontal-relative:char;mso-position-vertical-relative:line;mso-width-relative:margin;mso-height-relative:margin" fillcolor="white [3201]" strokecolor="#c0504d [3205]" strokeweight="1pt">
            <v:stroke dashstyle="dash"/>
            <v:shadow color="#868686"/>
            <v:textbox style="mso-next-textbox:#_x0000_s1167">
              <w:txbxContent>
                <w:p w:rsidR="00777888" w:rsidRPr="00F31EBF" w:rsidRDefault="00777888" w:rsidP="0039183F">
                  <w:pPr>
                    <w:rPr>
                      <w:color w:val="auto"/>
                    </w:rPr>
                  </w:pPr>
                  <w:r w:rsidRPr="00F31EBF">
                    <w:rPr>
                      <w:b/>
                      <w:color w:val="auto"/>
                    </w:rPr>
                    <w:t xml:space="preserve">Unterrichtsanschlüsse </w:t>
                  </w:r>
                  <w:r>
                    <w:rPr>
                      <w:color w:val="auto"/>
                    </w:rPr>
                    <w:t>In diesem Versuch wird die klassische Säure-Base-Titration durchg</w:t>
                  </w:r>
                  <w:r>
                    <w:rPr>
                      <w:color w:val="auto"/>
                    </w:rPr>
                    <w:t>e</w:t>
                  </w:r>
                  <w:r>
                    <w:rPr>
                      <w:color w:val="auto"/>
                    </w:rPr>
                    <w:t>führt. Da der Einsatz von Phenolphtalein-Lösung in der Schule und gerade bei der Verwendung von Schülerinnen und Schüler umstritten bzw. verboten ist, ist dies ein Lehrerversuch. Der Farbumschlag ist gut zu erkennen, sodass sich dieser Versuch von allen Schülerinnen und Schülern gut wahrnehmen lässt. Zudem sollte auf die potentiellen Gefahren, die ein Rohrrein</w:t>
                  </w:r>
                  <w:r>
                    <w:rPr>
                      <w:color w:val="auto"/>
                    </w:rPr>
                    <w:t>i</w:t>
                  </w:r>
                  <w:r>
                    <w:rPr>
                      <w:color w:val="auto"/>
                    </w:rPr>
                    <w:t>ger birgt eingegangen werden. Die Gefahren sind zum einen das es stark ätzend bei Haut- und Augenkontakt wirkt und zum anderen, das bei falscher Anwendung mit anderen Reinigung</w:t>
                  </w:r>
                  <w:r>
                    <w:rPr>
                      <w:color w:val="auto"/>
                    </w:rPr>
                    <w:t>s</w:t>
                  </w:r>
                  <w:r>
                    <w:rPr>
                      <w:color w:val="auto"/>
                    </w:rPr>
                    <w:t>produkten Chlorgas entstehen lassen kann. Dieser Versuch hat einen großen Alltagsbezug, da die Schülerinnen und Schüler Rohrreiniger aus dem Haushalt kennen und womöglich bei der Mutter in der Anwendung gesehen haben. Als Alternative würde sich die Titration einer Seife</w:t>
                  </w:r>
                  <w:r>
                    <w:rPr>
                      <w:color w:val="auto"/>
                    </w:rPr>
                    <w:t>n</w:t>
                  </w:r>
                  <w:r>
                    <w:rPr>
                      <w:color w:val="auto"/>
                    </w:rPr>
                    <w:t>lösung anbieten. Diese Abwandlung kann auch von den Schülerinnen und Schülern durchg</w:t>
                  </w:r>
                  <w:r>
                    <w:rPr>
                      <w:color w:val="auto"/>
                    </w:rPr>
                    <w:t>e</w:t>
                  </w:r>
                  <w:r>
                    <w:rPr>
                      <w:color w:val="auto"/>
                    </w:rPr>
                    <w:t>führt werden.</w:t>
                  </w:r>
                </w:p>
              </w:txbxContent>
            </v:textbox>
            <w10:wrap type="none"/>
            <w10:anchorlock/>
          </v:shape>
        </w:pict>
      </w: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Default="00E670D3" w:rsidP="005E0499">
      <w:pPr>
        <w:tabs>
          <w:tab w:val="left" w:pos="1701"/>
          <w:tab w:val="left" w:pos="1985"/>
        </w:tabs>
        <w:ind w:left="1980" w:hanging="1980"/>
      </w:pPr>
    </w:p>
    <w:p w:rsidR="00E670D3" w:rsidRPr="00CC307A" w:rsidRDefault="00E670D3" w:rsidP="005E0499">
      <w:pPr>
        <w:tabs>
          <w:tab w:val="left" w:pos="1701"/>
          <w:tab w:val="left" w:pos="1985"/>
        </w:tabs>
        <w:ind w:left="1980" w:hanging="1980"/>
      </w:pPr>
    </w:p>
    <w:p w:rsidR="00527710" w:rsidRPr="00527710" w:rsidRDefault="00994634" w:rsidP="00527710">
      <w:pPr>
        <w:pStyle w:val="berschrift1"/>
      </w:pPr>
      <w:bookmarkStart w:id="8" w:name="_Toc457758474"/>
      <w:r>
        <w:lastRenderedPageBreak/>
        <w:t>Schülerversuch</w:t>
      </w:r>
      <w:r w:rsidR="00CC307A">
        <w:t>e</w:t>
      </w:r>
      <w:bookmarkEnd w:id="8"/>
    </w:p>
    <w:p w:rsidR="001045D1" w:rsidRPr="00CC307A" w:rsidRDefault="00D837BB" w:rsidP="001045D1">
      <w:pPr>
        <w:pStyle w:val="berschrift2"/>
        <w:rPr>
          <w:color w:val="auto"/>
        </w:rPr>
      </w:pPr>
      <w:r w:rsidRPr="00D837BB">
        <w:rPr>
          <w:noProof/>
          <w:lang w:eastAsia="de-DE"/>
        </w:rPr>
        <w:pict>
          <v:shape id="_x0000_s1160" type="#_x0000_t202" style="position:absolute;left:0;text-align:left;margin-left:.45pt;margin-top:31.1pt;width:462.45pt;height:256.75pt;z-index:251792384;mso-width-relative:margin;mso-height-relative:margin" fillcolor="white [3201]" strokecolor="#4bacc6 [3208]" strokeweight="1pt">
            <v:stroke dashstyle="dash"/>
            <v:shadow color="#868686"/>
            <v:textbox style="mso-next-textbox:#_x0000_s1160">
              <w:txbxContent>
                <w:p w:rsidR="00777888" w:rsidRPr="00F31EBF" w:rsidRDefault="00777888" w:rsidP="001045D1">
                  <w:pPr>
                    <w:rPr>
                      <w:color w:val="auto"/>
                    </w:rPr>
                  </w:pPr>
                  <w:r>
                    <w:rPr>
                      <w:color w:val="auto"/>
                    </w:rPr>
                    <w:t>In diesem Versuch wird die in Cola enthaltene Phosphorsäure mittels Säure-Base-Titration titriert und bestimmt. Ebenfalls wird mit den erhaltenen Werten gerechnet um das chemische Rechnen bei den Schülerinnen und Schüler zu trainieren und zu festigen. Als Vorwissen wird das Ablaufen einer Titration und der damit verbundenen Neutralisationsreaktion vorausg</w:t>
                  </w:r>
                  <w:r>
                    <w:rPr>
                      <w:color w:val="auto"/>
                    </w:rPr>
                    <w:t>e</w:t>
                  </w:r>
                  <w:r>
                    <w:rPr>
                      <w:color w:val="auto"/>
                    </w:rPr>
                    <w:t xml:space="preserve">setzt. Des Weiteren sollte der Begriff der mehrprotonigen Säuren bekannt sein und das diese nicht nur einen ÄP </w:t>
                  </w:r>
                  <w:proofErr w:type="gramStart"/>
                  <w:r>
                    <w:rPr>
                      <w:color w:val="auto"/>
                    </w:rPr>
                    <w:t>aufweisen</w:t>
                  </w:r>
                  <w:proofErr w:type="gramEnd"/>
                  <w:r>
                    <w:rPr>
                      <w:color w:val="auto"/>
                    </w:rPr>
                    <w:t>, sondern mehrere, da verschiedene Protolysegleichgewichte vo</w:t>
                  </w:r>
                  <w:r>
                    <w:rPr>
                      <w:color w:val="auto"/>
                    </w:rPr>
                    <w:t>r</w:t>
                  </w:r>
                  <w:r>
                    <w:rPr>
                      <w:color w:val="auto"/>
                    </w:rPr>
                    <w:t>liegen. Ebenso sollte die Handhabung eines pH-Meters, nicht trocken lagern, sondern immer mit Schutzkappe, sowie die damit verbundene Eichung des pH-Meters mit Eichlösung bekannt sein. Ist dies nicht der Fall, sollte vor diesem Versuch Zeit für die Themen aufgewandt werden und an Titrationen wie Salzsäure mit Natronlauge die Verwendung eines pH-Meters geübt werden. Zudem sollte die Methode der Extrapolation, auch Drei-Geraden-Methode genannt, beherrscht werden. Außerdem kann bei diesem Versuch das Verfahren der Fehlerbetrachtung eingeführt werden.</w:t>
                  </w:r>
                </w:p>
              </w:txbxContent>
            </v:textbox>
            <w10:wrap type="square"/>
          </v:shape>
        </w:pict>
      </w:r>
      <w:bookmarkStart w:id="9" w:name="_Toc457758475"/>
      <w:r w:rsidR="001045D1" w:rsidRPr="00CC307A">
        <w:rPr>
          <w:color w:val="auto"/>
        </w:rPr>
        <w:t xml:space="preserve">V1 – </w:t>
      </w:r>
      <w:r w:rsidR="001045D1">
        <w:rPr>
          <w:color w:val="auto"/>
        </w:rPr>
        <w:t>Titration von Cola</w:t>
      </w:r>
      <w:bookmarkEnd w:id="9"/>
    </w:p>
    <w:p w:rsidR="001045D1" w:rsidRDefault="001045D1" w:rsidP="001045D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045D1" w:rsidRPr="009C5E28" w:rsidTr="00CE5A25">
        <w:tc>
          <w:tcPr>
            <w:tcW w:w="9322" w:type="dxa"/>
            <w:gridSpan w:val="9"/>
            <w:shd w:val="clear" w:color="auto" w:fill="4F81BD"/>
            <w:vAlign w:val="center"/>
          </w:tcPr>
          <w:p w:rsidR="001045D1" w:rsidRPr="00F31EBF" w:rsidRDefault="001045D1" w:rsidP="00CE5A25">
            <w:pPr>
              <w:spacing w:after="0"/>
              <w:jc w:val="center"/>
              <w:rPr>
                <w:b/>
                <w:bCs/>
                <w:color w:val="FFFFFF" w:themeColor="background1"/>
              </w:rPr>
            </w:pPr>
            <w:r w:rsidRPr="00F31EBF">
              <w:rPr>
                <w:b/>
                <w:bCs/>
                <w:color w:val="FFFFFF" w:themeColor="background1"/>
              </w:rPr>
              <w:t>Gefahrenstoffe</w:t>
            </w:r>
          </w:p>
        </w:tc>
      </w:tr>
      <w:tr w:rsidR="001045D1" w:rsidRPr="009C5E28" w:rsidTr="00CE5A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045D1" w:rsidRPr="009C5E28" w:rsidRDefault="003536C5" w:rsidP="00CE5A25">
            <w:pPr>
              <w:spacing w:after="0" w:line="276" w:lineRule="auto"/>
              <w:jc w:val="center"/>
              <w:rPr>
                <w:b/>
                <w:bCs/>
              </w:rPr>
            </w:pPr>
            <w:r>
              <w:rPr>
                <w:sz w:val="20"/>
              </w:rPr>
              <w:t>Cola</w:t>
            </w:r>
          </w:p>
        </w:tc>
        <w:tc>
          <w:tcPr>
            <w:tcW w:w="3177" w:type="dxa"/>
            <w:gridSpan w:val="3"/>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045D1" w:rsidRPr="009C5E28" w:rsidRDefault="001045D1" w:rsidP="00CE5A25">
            <w:pPr>
              <w:spacing w:after="0"/>
              <w:jc w:val="center"/>
            </w:pPr>
            <w:r w:rsidRPr="009C5E28">
              <w:rPr>
                <w:sz w:val="20"/>
              </w:rPr>
              <w:t xml:space="preserve">P: </w:t>
            </w:r>
            <w:r>
              <w:t>-</w:t>
            </w:r>
          </w:p>
        </w:tc>
      </w:tr>
      <w:tr w:rsidR="001045D1" w:rsidRPr="009C5E28" w:rsidTr="00CE5A25">
        <w:trPr>
          <w:trHeight w:val="434"/>
        </w:trPr>
        <w:tc>
          <w:tcPr>
            <w:tcW w:w="3027" w:type="dxa"/>
            <w:gridSpan w:val="3"/>
            <w:shd w:val="clear" w:color="auto" w:fill="auto"/>
            <w:vAlign w:val="center"/>
          </w:tcPr>
          <w:p w:rsidR="001045D1" w:rsidRPr="009C5E28" w:rsidRDefault="003536C5" w:rsidP="00CE5A25">
            <w:pPr>
              <w:spacing w:after="0" w:line="276" w:lineRule="auto"/>
              <w:jc w:val="center"/>
              <w:rPr>
                <w:bCs/>
                <w:sz w:val="20"/>
              </w:rPr>
            </w:pPr>
            <w:r>
              <w:rPr>
                <w:color w:val="auto"/>
                <w:sz w:val="20"/>
                <w:szCs w:val="20"/>
              </w:rPr>
              <w:t>Natronlauge</w:t>
            </w:r>
          </w:p>
        </w:tc>
        <w:tc>
          <w:tcPr>
            <w:tcW w:w="3177" w:type="dxa"/>
            <w:gridSpan w:val="3"/>
            <w:shd w:val="clear" w:color="auto" w:fill="auto"/>
            <w:vAlign w:val="center"/>
          </w:tcPr>
          <w:p w:rsidR="001045D1" w:rsidRPr="009C5E28" w:rsidRDefault="001045D1" w:rsidP="00CE5A25">
            <w:pPr>
              <w:pStyle w:val="Beschriftung"/>
              <w:spacing w:after="0"/>
              <w:jc w:val="center"/>
              <w:rPr>
                <w:sz w:val="20"/>
              </w:rPr>
            </w:pPr>
            <w:r w:rsidRPr="009C5E28">
              <w:rPr>
                <w:sz w:val="20"/>
              </w:rPr>
              <w:t xml:space="preserve">H: </w:t>
            </w:r>
            <w:r w:rsidR="003536C5">
              <w:t>315, 319, 290</w:t>
            </w:r>
          </w:p>
        </w:tc>
        <w:tc>
          <w:tcPr>
            <w:tcW w:w="3118" w:type="dxa"/>
            <w:gridSpan w:val="3"/>
            <w:shd w:val="clear" w:color="auto" w:fill="auto"/>
            <w:vAlign w:val="center"/>
          </w:tcPr>
          <w:p w:rsidR="001045D1" w:rsidRPr="009C5E28" w:rsidRDefault="001045D1" w:rsidP="00CE5A25">
            <w:pPr>
              <w:pStyle w:val="Beschriftung"/>
              <w:spacing w:after="0"/>
              <w:jc w:val="center"/>
              <w:rPr>
                <w:sz w:val="20"/>
              </w:rPr>
            </w:pPr>
            <w:r w:rsidRPr="009C5E28">
              <w:rPr>
                <w:sz w:val="20"/>
              </w:rPr>
              <w:t xml:space="preserve">P: </w:t>
            </w:r>
            <w:r w:rsidR="003536C5">
              <w:t>280, 301+ 330+ 331, 305+ 351+ 338, 308+ 310</w:t>
            </w:r>
          </w:p>
        </w:tc>
      </w:tr>
      <w:tr w:rsidR="001045D1" w:rsidRPr="009C5E28" w:rsidTr="00CE5A25">
        <w:tc>
          <w:tcPr>
            <w:tcW w:w="1009" w:type="dxa"/>
            <w:tcBorders>
              <w:top w:val="single" w:sz="8" w:space="0" w:color="4F81BD"/>
              <w:left w:val="single" w:sz="8" w:space="0" w:color="4F81BD"/>
              <w:bottom w:val="single" w:sz="8" w:space="0" w:color="4F81BD"/>
            </w:tcBorders>
            <w:shd w:val="clear" w:color="auto" w:fill="auto"/>
            <w:vAlign w:val="center"/>
          </w:tcPr>
          <w:p w:rsidR="001045D1" w:rsidRPr="009C5E28" w:rsidRDefault="003536C5" w:rsidP="00CE5A25">
            <w:pPr>
              <w:spacing w:after="0"/>
              <w:jc w:val="center"/>
              <w:rPr>
                <w:b/>
                <w:bCs/>
              </w:rPr>
            </w:pPr>
            <w:r w:rsidRPr="003536C5">
              <w:rPr>
                <w:b/>
                <w:bCs/>
                <w:noProof/>
                <w:lang w:eastAsia="de-DE"/>
              </w:rPr>
              <w:drawing>
                <wp:inline distT="0" distB="0" distL="0" distR="0">
                  <wp:extent cx="503525" cy="504000"/>
                  <wp:effectExtent l="19050" t="0" r="0" b="0"/>
                  <wp:docPr id="47" name="Bild 16" descr="C:\Users\Kristina\Documents\SVP CHEMIE\Piktogramm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ristina\Documents\SVP CHEMIE\Piktogramme\Piktogramme\Ätzend.png"/>
                          <pic:cNvPicPr>
                            <a:picLocks noChangeAspect="1" noChangeArrowheads="1"/>
                          </pic:cNvPicPr>
                        </pic:nvPicPr>
                        <pic:blipFill>
                          <a:blip r:embed="rId24" cstate="print"/>
                          <a:srcRect/>
                          <a:stretch>
                            <a:fillRect/>
                          </a:stretch>
                        </pic:blipFill>
                        <pic:spPr bwMode="auto">
                          <a:xfrm>
                            <a:off x="0" y="0"/>
                            <a:ext cx="503525"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Pr>
                <w:noProof/>
                <w:lang w:eastAsia="de-DE"/>
              </w:rPr>
              <w:drawing>
                <wp:inline distT="0" distB="0" distL="0" distR="0">
                  <wp:extent cx="504190" cy="504190"/>
                  <wp:effectExtent l="0" t="0" r="0" b="0"/>
                  <wp:docPr id="3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Pr>
                <w:noProof/>
                <w:lang w:eastAsia="de-DE"/>
              </w:rPr>
              <w:drawing>
                <wp:inline distT="0" distB="0" distL="0" distR="0">
                  <wp:extent cx="504190" cy="504190"/>
                  <wp:effectExtent l="0" t="0" r="0" b="0"/>
                  <wp:docPr id="3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Pr>
                <w:noProof/>
                <w:lang w:eastAsia="de-DE"/>
              </w:rPr>
              <w:drawing>
                <wp:inline distT="0" distB="0" distL="0" distR="0">
                  <wp:extent cx="504190" cy="504190"/>
                  <wp:effectExtent l="0" t="0" r="0" b="0"/>
                  <wp:docPr id="3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Pr>
                <w:noProof/>
                <w:lang w:eastAsia="de-DE"/>
              </w:rPr>
              <w:drawing>
                <wp:inline distT="0" distB="0" distL="0" distR="0">
                  <wp:extent cx="504190" cy="504190"/>
                  <wp:effectExtent l="0" t="0" r="0" b="0"/>
                  <wp:docPr id="4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Pr>
                <w:noProof/>
                <w:lang w:eastAsia="de-DE"/>
              </w:rPr>
              <w:drawing>
                <wp:inline distT="0" distB="0" distL="0" distR="0">
                  <wp:extent cx="504190" cy="504190"/>
                  <wp:effectExtent l="0" t="0" r="0" b="0"/>
                  <wp:docPr id="4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045D1" w:rsidRPr="009C5E28" w:rsidRDefault="001045D1" w:rsidP="00CE5A25">
            <w:pPr>
              <w:spacing w:after="0"/>
              <w:jc w:val="center"/>
            </w:pPr>
            <w:r>
              <w:rPr>
                <w:noProof/>
                <w:lang w:eastAsia="de-DE"/>
              </w:rPr>
              <w:drawing>
                <wp:inline distT="0" distB="0" distL="0" distR="0">
                  <wp:extent cx="504190" cy="504190"/>
                  <wp:effectExtent l="0" t="0" r="0" b="0"/>
                  <wp:docPr id="4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045D1" w:rsidRPr="009C5E28" w:rsidRDefault="003536C5" w:rsidP="00CE5A25">
            <w:pPr>
              <w:spacing w:after="0"/>
              <w:jc w:val="center"/>
            </w:pPr>
            <w:r>
              <w:rPr>
                <w:noProof/>
                <w:lang w:eastAsia="de-DE"/>
              </w:rPr>
              <w:drawing>
                <wp:inline distT="0" distB="0" distL="0" distR="0">
                  <wp:extent cx="503843" cy="504000"/>
                  <wp:effectExtent l="19050" t="0" r="0" b="0"/>
                  <wp:docPr id="48" name="Bild 27"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ristina\Documents\SVP CHEMIE\Piktogramme\Piktogramme\Grau\Reizend.png"/>
                          <pic:cNvPicPr>
                            <a:picLocks noChangeAspect="1" noChangeArrowheads="1"/>
                          </pic:cNvPicPr>
                        </pic:nvPicPr>
                        <pic:blipFill>
                          <a:blip r:embed="rId29" cstate="print"/>
                          <a:srcRect/>
                          <a:stretch>
                            <a:fillRect/>
                          </a:stretch>
                        </pic:blipFill>
                        <pic:spPr bwMode="auto">
                          <a:xfrm>
                            <a:off x="0" y="0"/>
                            <a:ext cx="503843"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045D1" w:rsidRPr="009C5E28" w:rsidRDefault="003536C5" w:rsidP="00CE5A25">
            <w:pPr>
              <w:spacing w:after="0"/>
              <w:jc w:val="center"/>
            </w:pPr>
            <w:r>
              <w:rPr>
                <w:noProof/>
                <w:lang w:eastAsia="de-DE"/>
              </w:rPr>
              <w:drawing>
                <wp:inline distT="0" distB="0" distL="0" distR="0">
                  <wp:extent cx="503466" cy="504000"/>
                  <wp:effectExtent l="19050" t="0" r="0" b="0"/>
                  <wp:docPr id="49" name="Bild 28" descr="C:\Users\Kristina\Documents\SVP CHEMIE\Piktogramme\Piktogramme\Grau\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ristina\Documents\SVP CHEMIE\Piktogramme\Piktogramme\Grau\Umweltgefahr.png"/>
                          <pic:cNvPicPr>
                            <a:picLocks noChangeAspect="1" noChangeArrowheads="1"/>
                          </pic:cNvPicPr>
                        </pic:nvPicPr>
                        <pic:blipFill>
                          <a:blip r:embed="rId26" cstate="print"/>
                          <a:srcRect/>
                          <a:stretch>
                            <a:fillRect/>
                          </a:stretch>
                        </pic:blipFill>
                        <pic:spPr bwMode="auto">
                          <a:xfrm>
                            <a:off x="0" y="0"/>
                            <a:ext cx="503466" cy="504000"/>
                          </a:xfrm>
                          <a:prstGeom prst="rect">
                            <a:avLst/>
                          </a:prstGeom>
                          <a:noFill/>
                          <a:ln w="9525">
                            <a:noFill/>
                            <a:miter lim="800000"/>
                            <a:headEnd/>
                            <a:tailEnd/>
                          </a:ln>
                        </pic:spPr>
                      </pic:pic>
                    </a:graphicData>
                  </a:graphic>
                </wp:inline>
              </w:drawing>
            </w:r>
          </w:p>
        </w:tc>
      </w:tr>
    </w:tbl>
    <w:p w:rsidR="001045D1" w:rsidRDefault="001045D1" w:rsidP="001045D1">
      <w:pPr>
        <w:tabs>
          <w:tab w:val="left" w:pos="1701"/>
          <w:tab w:val="left" w:pos="1985"/>
        </w:tabs>
        <w:ind w:left="1980" w:hanging="1980"/>
      </w:pPr>
    </w:p>
    <w:p w:rsidR="001045D1" w:rsidRDefault="001045D1" w:rsidP="001045D1">
      <w:pPr>
        <w:tabs>
          <w:tab w:val="left" w:pos="1701"/>
          <w:tab w:val="left" w:pos="1985"/>
        </w:tabs>
        <w:ind w:left="1980" w:hanging="1980"/>
      </w:pPr>
      <w:r>
        <w:t xml:space="preserve">Materialien: </w:t>
      </w:r>
      <w:r>
        <w:tab/>
      </w:r>
      <w:r>
        <w:tab/>
      </w:r>
      <w:r w:rsidR="003536C5">
        <w:t>2 Bechergläser (230 mL), Bürette, Magnetrührer, Trichter, Rührschwein, Pipette, Stativ, Muffe, pH-Meter</w:t>
      </w:r>
    </w:p>
    <w:p w:rsidR="001045D1" w:rsidRPr="00ED07C2" w:rsidRDefault="001045D1" w:rsidP="001045D1">
      <w:pPr>
        <w:tabs>
          <w:tab w:val="left" w:pos="1701"/>
          <w:tab w:val="left" w:pos="1985"/>
        </w:tabs>
        <w:ind w:left="1980" w:hanging="1980"/>
      </w:pPr>
      <w:r>
        <w:t>Chemikalien:</w:t>
      </w:r>
      <w:r>
        <w:tab/>
      </w:r>
      <w:r>
        <w:tab/>
      </w:r>
      <w:r w:rsidR="0042608B">
        <w:t>Cola, Natronlauge (0,1 M)</w:t>
      </w:r>
    </w:p>
    <w:p w:rsidR="001045D1" w:rsidRDefault="001045D1" w:rsidP="001045D1">
      <w:pPr>
        <w:tabs>
          <w:tab w:val="left" w:pos="1701"/>
          <w:tab w:val="left" w:pos="1985"/>
        </w:tabs>
        <w:ind w:left="1980" w:hanging="1980"/>
      </w:pPr>
      <w:r>
        <w:t xml:space="preserve">Durchführung: </w:t>
      </w:r>
      <w:r>
        <w:tab/>
      </w:r>
      <w:r>
        <w:tab/>
      </w:r>
      <w:r>
        <w:tab/>
      </w:r>
      <w:r w:rsidR="0042608B">
        <w:t xml:space="preserve">150 mL Cola werden in ein Becherglas mit einem Magnetrührer solange gerührt und aufgekocht, bis </w:t>
      </w:r>
      <w:r w:rsidR="000C5E56">
        <w:t>keine Gasentwicklung</w:t>
      </w:r>
      <w:r w:rsidR="0042608B">
        <w:t xml:space="preserve"> mehr zu beobachten ist. Anschließend werden 100 ml der Cola in ein anderes Becherglas geschü</w:t>
      </w:r>
      <w:r w:rsidR="0042608B">
        <w:t>t</w:t>
      </w:r>
      <w:r w:rsidR="0042608B">
        <w:t>tet. Die Bürette wird mithilfe des Trichters mit Natronlauge befüllt und der Flüssigkeitsstand wird abgelesen. Danach wird die Cola mit der Natronla</w:t>
      </w:r>
      <w:r w:rsidR="0042608B">
        <w:t>u</w:t>
      </w:r>
      <w:r w:rsidR="0042608B">
        <w:t>ge titriert und der p</w:t>
      </w:r>
      <w:r w:rsidR="0034157F">
        <w:t>H</w:t>
      </w:r>
      <w:r w:rsidR="0042608B">
        <w:t>-Wert der Lösung wird mittels pH-Meter detektiert und kontinuierlich</w:t>
      </w:r>
      <w:r w:rsidR="00746D30">
        <w:t>, alle 0,5mL,</w:t>
      </w:r>
      <w:r w:rsidR="0042608B">
        <w:t xml:space="preserve"> notiert.</w:t>
      </w:r>
    </w:p>
    <w:p w:rsidR="00975A31" w:rsidRDefault="00975A31" w:rsidP="00683C63">
      <w:pPr>
        <w:tabs>
          <w:tab w:val="left" w:pos="1701"/>
          <w:tab w:val="left" w:pos="1985"/>
        </w:tabs>
        <w:ind w:left="1980" w:hanging="1980"/>
      </w:pPr>
    </w:p>
    <w:p w:rsidR="00683C63" w:rsidRDefault="00683C63" w:rsidP="00683C63">
      <w:pPr>
        <w:tabs>
          <w:tab w:val="left" w:pos="1701"/>
          <w:tab w:val="left" w:pos="1985"/>
        </w:tabs>
        <w:ind w:left="1980" w:hanging="1980"/>
      </w:pPr>
      <w:r>
        <w:t>Versuchsaufbau:</w:t>
      </w:r>
    </w:p>
    <w:p w:rsidR="00683C63" w:rsidRDefault="00683C63" w:rsidP="00683C63">
      <w:pPr>
        <w:keepNext/>
        <w:tabs>
          <w:tab w:val="left" w:pos="1701"/>
          <w:tab w:val="left" w:pos="1985"/>
        </w:tabs>
        <w:ind w:left="1980" w:hanging="1980"/>
        <w:jc w:val="center"/>
      </w:pPr>
      <w:r>
        <w:rPr>
          <w:noProof/>
          <w:lang w:eastAsia="de-DE"/>
        </w:rPr>
        <w:drawing>
          <wp:inline distT="0" distB="0" distL="0" distR="0">
            <wp:extent cx="1288990" cy="2751826"/>
            <wp:effectExtent l="19050" t="0" r="6410" b="0"/>
            <wp:docPr id="5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1288990" cy="2751826"/>
                    </a:xfrm>
                    <a:prstGeom prst="rect">
                      <a:avLst/>
                    </a:prstGeom>
                    <a:noFill/>
                    <a:ln w="9525">
                      <a:noFill/>
                      <a:miter lim="800000"/>
                      <a:headEnd/>
                      <a:tailEnd/>
                    </a:ln>
                  </pic:spPr>
                </pic:pic>
              </a:graphicData>
            </a:graphic>
          </wp:inline>
        </w:drawing>
      </w:r>
    </w:p>
    <w:p w:rsidR="00683C63" w:rsidRDefault="00683C63" w:rsidP="00683C63">
      <w:pPr>
        <w:pStyle w:val="Beschriftung"/>
        <w:jc w:val="center"/>
      </w:pPr>
      <w:r>
        <w:t>Abbildung 3: Darstellung des Versuchsaufbaus der Titration von Cola.</w:t>
      </w:r>
    </w:p>
    <w:p w:rsidR="001045D1" w:rsidRDefault="001045D1" w:rsidP="001045D1">
      <w:pPr>
        <w:tabs>
          <w:tab w:val="left" w:pos="1701"/>
          <w:tab w:val="left" w:pos="1985"/>
        </w:tabs>
        <w:ind w:left="1980" w:hanging="1980"/>
      </w:pPr>
      <w:r>
        <w:t>Beobachtung:</w:t>
      </w:r>
      <w:r>
        <w:tab/>
      </w:r>
      <w:r>
        <w:tab/>
      </w:r>
      <w:r>
        <w:tab/>
      </w:r>
      <w:r w:rsidR="00037556">
        <w:t xml:space="preserve">Der pH-Wert vor der </w:t>
      </w:r>
      <w:proofErr w:type="spellStart"/>
      <w:r w:rsidR="00037556">
        <w:t>NaOH</w:t>
      </w:r>
      <w:proofErr w:type="spellEnd"/>
      <w:r w:rsidR="00037556">
        <w:t>-Zugabe beträgt 2,36. Der erste pH-Spr</w:t>
      </w:r>
      <w:r w:rsidR="00746D30">
        <w:t>u</w:t>
      </w:r>
      <w:r w:rsidR="00037556">
        <w:t xml:space="preserve">ng ist bei einer Zugabe von 4 </w:t>
      </w:r>
      <w:proofErr w:type="spellStart"/>
      <w:r w:rsidR="00037556">
        <w:t>mL</w:t>
      </w:r>
      <w:proofErr w:type="spellEnd"/>
      <w:r w:rsidR="00037556">
        <w:t xml:space="preserve"> </w:t>
      </w:r>
      <w:proofErr w:type="spellStart"/>
      <w:r w:rsidR="00037556">
        <w:t>NaOH</w:t>
      </w:r>
      <w:proofErr w:type="spellEnd"/>
      <w:r w:rsidR="00037556">
        <w:t>-Lösung von 3,09 auf 4,09. Der zweite pH-Sprung ist bei 9 mL von 7,72 auf 8,52.</w:t>
      </w:r>
    </w:p>
    <w:p w:rsidR="00683C63" w:rsidRDefault="00683C63" w:rsidP="00683C63">
      <w:pPr>
        <w:pStyle w:val="Beschriftung"/>
        <w:keepNext/>
        <w:jc w:val="center"/>
      </w:pPr>
      <w:r>
        <w:t xml:space="preserve">Tabelle </w:t>
      </w:r>
      <w:fldSimple w:instr=" SEQ Tabelle \* ARABIC ">
        <w:r w:rsidR="00777888">
          <w:rPr>
            <w:noProof/>
          </w:rPr>
          <w:t>1</w:t>
        </w:r>
      </w:fldSimple>
      <w:r>
        <w:t>: Messwerte der Cola-Titration.</w:t>
      </w:r>
    </w:p>
    <w:tbl>
      <w:tblPr>
        <w:tblW w:w="260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384"/>
        <w:gridCol w:w="1216"/>
      </w:tblGrid>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pPr>
            <w:r>
              <w:rPr>
                <w:rFonts w:ascii="Calibri" w:eastAsia="Times New Roman" w:hAnsi="Calibri" w:cs="Times New Roman"/>
                <w:color w:val="000000"/>
                <w:lang w:eastAsia="de-DE"/>
              </w:rPr>
              <w:t>V(</w:t>
            </w:r>
            <w:proofErr w:type="spellStart"/>
            <w:r>
              <w:rPr>
                <w:rFonts w:ascii="Calibri" w:eastAsia="Times New Roman" w:hAnsi="Calibri" w:cs="Times New Roman"/>
                <w:color w:val="000000"/>
                <w:lang w:eastAsia="de-DE"/>
              </w:rPr>
              <w:t>NaOH</w:t>
            </w:r>
            <w:proofErr w:type="spellEnd"/>
            <w:r>
              <w:rPr>
                <w:rFonts w:ascii="Calibri" w:eastAsia="Times New Roman" w:hAnsi="Calibri" w:cs="Times New Roman"/>
                <w:color w:val="000000"/>
                <w:lang w:eastAsia="de-DE"/>
              </w:rPr>
              <w:t>)</w:t>
            </w:r>
            <w:r>
              <w:t>[</w:t>
            </w:r>
            <w:proofErr w:type="spellStart"/>
            <w:r>
              <w:t>mL</w:t>
            </w:r>
            <w:proofErr w:type="spellEnd"/>
            <w:r>
              <w:t>]</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pH-Wert</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0</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2,36</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0,5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2,37</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2,37</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2,38</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2,39</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2,52</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3</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2,61</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3,5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2,81</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4</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3,09</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4,5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4,09</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5,49</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5,5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6,06</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6</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6,33</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6,5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6,62</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7</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6,8</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7,5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7,01</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8</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7,21</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9</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7,72</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8,52</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lastRenderedPageBreak/>
              <w:t>11</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9,18</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12</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9,53</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13</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9,75</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14</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9,9</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10,04</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16</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10,12</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17</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10,22</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17,5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10,26</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18</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10,28</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18,5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10,31</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19</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10,35</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19,5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10,37</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20</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10,41</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20,5</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10,43</w:t>
            </w:r>
          </w:p>
        </w:tc>
      </w:tr>
      <w:tr w:rsidR="00683C63" w:rsidRPr="00683C63" w:rsidTr="006E4BEF">
        <w:trPr>
          <w:trHeight w:val="300"/>
          <w:jc w:val="center"/>
        </w:trPr>
        <w:tc>
          <w:tcPr>
            <w:tcW w:w="1384"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21</w:t>
            </w:r>
          </w:p>
        </w:tc>
        <w:tc>
          <w:tcPr>
            <w:tcW w:w="1216" w:type="dxa"/>
            <w:shd w:val="clear" w:color="auto" w:fill="auto"/>
            <w:noWrap/>
            <w:vAlign w:val="bottom"/>
            <w:hideMark/>
          </w:tcPr>
          <w:p w:rsidR="00683C63" w:rsidRPr="00683C63" w:rsidRDefault="00683C63" w:rsidP="00683C63">
            <w:pPr>
              <w:spacing w:after="0" w:line="240" w:lineRule="auto"/>
              <w:jc w:val="right"/>
              <w:rPr>
                <w:rFonts w:ascii="Calibri" w:eastAsia="Times New Roman" w:hAnsi="Calibri" w:cs="Times New Roman"/>
                <w:color w:val="000000"/>
                <w:lang w:eastAsia="de-DE"/>
              </w:rPr>
            </w:pPr>
            <w:r w:rsidRPr="00683C63">
              <w:rPr>
                <w:rFonts w:ascii="Calibri" w:eastAsia="Times New Roman" w:hAnsi="Calibri" w:cs="Times New Roman"/>
                <w:color w:val="000000"/>
                <w:lang w:eastAsia="de-DE"/>
              </w:rPr>
              <w:t>10,45</w:t>
            </w:r>
          </w:p>
        </w:tc>
      </w:tr>
    </w:tbl>
    <w:p w:rsidR="00E670D3" w:rsidRDefault="00E670D3" w:rsidP="000B0FC6">
      <w:pPr>
        <w:tabs>
          <w:tab w:val="left" w:pos="1701"/>
          <w:tab w:val="left" w:pos="1985"/>
        </w:tabs>
        <w:ind w:left="2124" w:hanging="2124"/>
      </w:pPr>
    </w:p>
    <w:p w:rsidR="001045D1" w:rsidRDefault="001045D1" w:rsidP="000B0FC6">
      <w:pPr>
        <w:tabs>
          <w:tab w:val="left" w:pos="1701"/>
          <w:tab w:val="left" w:pos="1985"/>
        </w:tabs>
        <w:ind w:left="2124" w:hanging="2124"/>
      </w:pPr>
      <w:r>
        <w:t>Deutung:</w:t>
      </w:r>
      <w:r>
        <w:tab/>
      </w:r>
      <w:r>
        <w:tab/>
      </w:r>
      <w:r>
        <w:tab/>
      </w:r>
      <w:r w:rsidR="006E4BEF">
        <w:t xml:space="preserve">Werden nun die Messwerte graphisch aufgetragen, </w:t>
      </w:r>
      <w:r w:rsidR="00746D30">
        <w:t>erhält man</w:t>
      </w:r>
      <w:r w:rsidR="006E4BEF">
        <w:t xml:space="preserve"> eine Titr</w:t>
      </w:r>
      <w:r w:rsidR="006E4BEF">
        <w:t>a</w:t>
      </w:r>
      <w:r w:rsidR="006E4BEF">
        <w:t>tionskur</w:t>
      </w:r>
      <w:r w:rsidR="00746D30">
        <w:t>ve (siehe Abbildung 4)</w:t>
      </w:r>
      <w:r w:rsidR="006E4BEF">
        <w:t>.</w:t>
      </w:r>
      <w:r w:rsidR="00D3342C">
        <w:t xml:space="preserve"> Aus der graphischen Auftragung ist zu erkennen, dass es sich bei der Phosphorsäure um eine mehrprotonige Säure handelt, die drei </w:t>
      </w:r>
      <w:proofErr w:type="spellStart"/>
      <w:r w:rsidR="0035552C">
        <w:t>Deprotonierungs</w:t>
      </w:r>
      <w:r w:rsidR="00D3342C">
        <w:t>stufen</w:t>
      </w:r>
      <w:proofErr w:type="spellEnd"/>
      <w:r w:rsidR="00D3342C">
        <w:t xml:space="preserve"> aufweisen müsste. Alle</w:t>
      </w:r>
      <w:r w:rsidR="00D3342C">
        <w:t>r</w:t>
      </w:r>
      <w:r w:rsidR="00D3342C">
        <w:t xml:space="preserve">dings sind nur zwei Dissoziationsstufen zu erkennen, da die </w:t>
      </w:r>
      <w:r w:rsidR="00746D30">
        <w:t xml:space="preserve">dritte </w:t>
      </w:r>
      <w:r w:rsidR="00D3342C">
        <w:t>in den Bereich</w:t>
      </w:r>
      <w:r w:rsidR="003962C5">
        <w:t>,</w:t>
      </w:r>
      <w:r w:rsidR="00FA6653">
        <w:t xml:space="preserve"> bei einem pH-Wert von </w:t>
      </w:r>
      <w:r w:rsidR="00913716">
        <w:t xml:space="preserve">ca. </w:t>
      </w:r>
      <w:r w:rsidR="00FA6653">
        <w:t>1</w:t>
      </w:r>
      <w:r w:rsidR="00913716">
        <w:t>1</w:t>
      </w:r>
      <w:r w:rsidR="003962C5">
        <w:t xml:space="preserve">, </w:t>
      </w:r>
      <w:r w:rsidR="00D3342C">
        <w:t>des Titrationsmittels fällt und d</w:t>
      </w:r>
      <w:r w:rsidR="00D3342C">
        <w:t>a</w:t>
      </w:r>
      <w:r w:rsidR="00D3342C">
        <w:t xml:space="preserve">her nicht wahrgenommen wird. </w:t>
      </w:r>
      <w:r w:rsidR="00746D30">
        <w:t xml:space="preserve">Um den dritten ÄP messen zu können, hätte eine 1 M </w:t>
      </w:r>
      <w:proofErr w:type="spellStart"/>
      <w:r w:rsidR="00746D30">
        <w:t>NaOH</w:t>
      </w:r>
      <w:proofErr w:type="spellEnd"/>
      <w:r w:rsidR="00746D30">
        <w:t>-</w:t>
      </w:r>
      <w:r w:rsidR="00E267AE">
        <w:t xml:space="preserve">Lösung anstelle einer 0,1 M </w:t>
      </w:r>
      <w:proofErr w:type="spellStart"/>
      <w:r w:rsidR="00E267AE">
        <w:t>NaOH</w:t>
      </w:r>
      <w:proofErr w:type="spellEnd"/>
      <w:r w:rsidR="00746D30">
        <w:t>-Lösung verwe</w:t>
      </w:r>
      <w:r w:rsidR="00746D30">
        <w:t>n</w:t>
      </w:r>
      <w:r w:rsidR="00746D30">
        <w:t>det werden müssen.</w:t>
      </w:r>
      <w:r w:rsidR="005E0499">
        <w:t xml:space="preserve"> Die Verdünnung bei der 0,1 M </w:t>
      </w:r>
      <w:proofErr w:type="spellStart"/>
      <w:r w:rsidR="005E0499">
        <w:t>NaOH</w:t>
      </w:r>
      <w:proofErr w:type="spellEnd"/>
      <w:r w:rsidR="005E0499">
        <w:t xml:space="preserve"> ist in dem B</w:t>
      </w:r>
      <w:r w:rsidR="005E0499">
        <w:t>e</w:t>
      </w:r>
      <w:r w:rsidR="005E0499">
        <w:t xml:space="preserve">reich des dritten ÄP so groß, dass das letzte Proton nicht dissoziiert. Dies ist bei der 1 M </w:t>
      </w:r>
      <w:proofErr w:type="spellStart"/>
      <w:r w:rsidR="005E0499">
        <w:t>NaOH</w:t>
      </w:r>
      <w:proofErr w:type="spellEnd"/>
      <w:r w:rsidR="005E0499">
        <w:t xml:space="preserve"> nicht der Fall, da die höhere Konzentration das Gleichgewicht auf die dissoziierte Seite der dritten </w:t>
      </w:r>
      <w:proofErr w:type="spellStart"/>
      <w:r w:rsidR="005E0499">
        <w:t>Protolysestufe</w:t>
      </w:r>
      <w:proofErr w:type="spellEnd"/>
      <w:r w:rsidR="005E0499">
        <w:t xml:space="preserve"> ve</w:t>
      </w:r>
      <w:r w:rsidR="005E0499">
        <w:t>r</w:t>
      </w:r>
      <w:r w:rsidR="005E0499">
        <w:t>schiebt.</w:t>
      </w:r>
    </w:p>
    <w:p w:rsidR="00D3342C" w:rsidRDefault="00D3342C" w:rsidP="00D3342C">
      <w:pPr>
        <w:keepNext/>
        <w:tabs>
          <w:tab w:val="left" w:pos="1701"/>
          <w:tab w:val="left" w:pos="1985"/>
        </w:tabs>
        <w:ind w:left="2124" w:hanging="2124"/>
        <w:jc w:val="center"/>
      </w:pPr>
      <w:r w:rsidRPr="00D3342C">
        <w:rPr>
          <w:rFonts w:eastAsiaTheme="minorEastAsia"/>
          <w:noProof/>
          <w:lang w:eastAsia="de-DE"/>
        </w:rPr>
        <w:lastRenderedPageBreak/>
        <w:drawing>
          <wp:inline distT="0" distB="0" distL="0" distR="0">
            <wp:extent cx="5760720" cy="3140039"/>
            <wp:effectExtent l="19050" t="0" r="11430" b="3211"/>
            <wp:docPr id="51"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342C" w:rsidRDefault="00D3342C" w:rsidP="00D3342C">
      <w:pPr>
        <w:pStyle w:val="Beschriftung"/>
        <w:jc w:val="center"/>
      </w:pPr>
      <w:r>
        <w:t>Abbildung 4: Titrationskurve der Cola.</w:t>
      </w:r>
    </w:p>
    <w:p w:rsidR="0035552C" w:rsidRDefault="0035552C" w:rsidP="00391C0C">
      <w:pPr>
        <w:ind w:left="2127"/>
      </w:pPr>
      <w:r>
        <w:t xml:space="preserve">Folgende Reaktionsgleichungen veranschaulichen die Deprotonierung der </w:t>
      </w:r>
      <w:r w:rsidR="00391C0C">
        <w:t>Phosphorsäure</w:t>
      </w:r>
      <w:r>
        <w:t>.</w:t>
      </w:r>
    </w:p>
    <w:p w:rsidR="00391C0C" w:rsidRPr="009B781F" w:rsidRDefault="00391C0C" w:rsidP="00391C0C">
      <w:pPr>
        <w:ind w:left="2127"/>
      </w:pPr>
      <w:r w:rsidRPr="00391C0C">
        <w:rPr>
          <w:u w:val="single"/>
        </w:rPr>
        <w:t>RG 1:</w:t>
      </w:r>
      <w:r w:rsidRPr="00391C0C">
        <w:t xml:space="preserve"> H</w:t>
      </w:r>
      <w:r w:rsidRPr="00391C0C">
        <w:rPr>
          <w:vertAlign w:val="subscript"/>
        </w:rPr>
        <w:t>3</w:t>
      </w:r>
      <w:r w:rsidRPr="00391C0C">
        <w:t>PO</w:t>
      </w:r>
      <w:r w:rsidRPr="00391C0C">
        <w:rPr>
          <w:vertAlign w:val="subscript"/>
        </w:rPr>
        <w:t>4(</w:t>
      </w:r>
      <w:proofErr w:type="spellStart"/>
      <w:r w:rsidRPr="00391C0C">
        <w:rPr>
          <w:vertAlign w:val="subscript"/>
        </w:rPr>
        <w:t>aq</w:t>
      </w:r>
      <w:proofErr w:type="spellEnd"/>
      <w:r w:rsidRPr="00391C0C">
        <w:rPr>
          <w:vertAlign w:val="subscript"/>
        </w:rPr>
        <w:t>)</w:t>
      </w:r>
      <w:r w:rsidRPr="00391C0C">
        <w:t xml:space="preserve"> + H</w:t>
      </w:r>
      <w:r w:rsidRPr="00391C0C">
        <w:rPr>
          <w:vertAlign w:val="subscript"/>
        </w:rPr>
        <w:t>2</w:t>
      </w:r>
      <w:r w:rsidRPr="00391C0C">
        <w:t>O</w:t>
      </w:r>
      <w:r w:rsidRPr="00391C0C">
        <w:rPr>
          <w:vertAlign w:val="subscript"/>
        </w:rPr>
        <w:t>(l)</w:t>
      </w:r>
      <w:r w:rsidRPr="00391C0C">
        <w:t xml:space="preserve"> ⇌ H</w:t>
      </w:r>
      <w:r w:rsidRPr="00391C0C">
        <w:rPr>
          <w:vertAlign w:val="subscript"/>
        </w:rPr>
        <w:t>3</w:t>
      </w:r>
      <w:r w:rsidRPr="00391C0C">
        <w:t>O</w:t>
      </w:r>
      <w:r w:rsidRPr="00391C0C">
        <w:rPr>
          <w:vertAlign w:val="superscript"/>
        </w:rPr>
        <w:t>+</w:t>
      </w:r>
      <w:r w:rsidRPr="00391C0C">
        <w:rPr>
          <w:vertAlign w:val="subscript"/>
        </w:rPr>
        <w:t>(</w:t>
      </w:r>
      <w:proofErr w:type="spellStart"/>
      <w:r w:rsidRPr="00391C0C">
        <w:rPr>
          <w:vertAlign w:val="subscript"/>
        </w:rPr>
        <w:t>aq</w:t>
      </w:r>
      <w:proofErr w:type="spellEnd"/>
      <w:r w:rsidRPr="00391C0C">
        <w:rPr>
          <w:vertAlign w:val="subscript"/>
        </w:rPr>
        <w:t>)</w:t>
      </w:r>
      <w:r w:rsidRPr="00391C0C">
        <w:t xml:space="preserve"> + H</w:t>
      </w:r>
      <w:r w:rsidRPr="00391C0C">
        <w:rPr>
          <w:vertAlign w:val="subscript"/>
        </w:rPr>
        <w:t>2</w:t>
      </w:r>
      <w:r w:rsidRPr="00391C0C">
        <w:t>PO</w:t>
      </w:r>
      <w:r w:rsidRPr="00391C0C">
        <w:rPr>
          <w:vertAlign w:val="subscript"/>
        </w:rPr>
        <w:t>4</w:t>
      </w:r>
      <w:r w:rsidRPr="00391C0C">
        <w:rPr>
          <w:vertAlign w:val="superscript"/>
        </w:rPr>
        <w:t>-</w:t>
      </w:r>
      <w:r w:rsidRPr="00391C0C">
        <w:rPr>
          <w:vertAlign w:val="subscript"/>
        </w:rPr>
        <w:t>(</w:t>
      </w:r>
      <w:proofErr w:type="spellStart"/>
      <w:r w:rsidRPr="00391C0C">
        <w:rPr>
          <w:vertAlign w:val="subscript"/>
        </w:rPr>
        <w:t>aq</w:t>
      </w:r>
      <w:proofErr w:type="spellEnd"/>
      <w:r w:rsidRPr="00391C0C">
        <w:rPr>
          <w:vertAlign w:val="subscript"/>
        </w:rPr>
        <w:t>)</w:t>
      </w:r>
      <w:r w:rsidR="009B781F">
        <w:tab/>
      </w:r>
      <w:r w:rsidR="009B781F">
        <w:tab/>
      </w:r>
      <w:proofErr w:type="spellStart"/>
      <w:r w:rsidR="009B781F">
        <w:t>pK</w:t>
      </w:r>
      <w:r w:rsidR="009B781F">
        <w:rPr>
          <w:vertAlign w:val="subscript"/>
        </w:rPr>
        <w:t>s</w:t>
      </w:r>
      <w:proofErr w:type="spellEnd"/>
      <w:r w:rsidR="009B781F">
        <w:t xml:space="preserve">= </w:t>
      </w:r>
      <w:r w:rsidR="008D547D">
        <w:t>2,16</w:t>
      </w:r>
    </w:p>
    <w:p w:rsidR="00391C0C" w:rsidRPr="009B781F" w:rsidRDefault="00391C0C" w:rsidP="00391C0C">
      <w:pPr>
        <w:ind w:left="2127"/>
      </w:pPr>
      <w:r w:rsidRPr="00391C0C">
        <w:rPr>
          <w:u w:val="single"/>
        </w:rPr>
        <w:t>RG 2:</w:t>
      </w:r>
      <w:r w:rsidRPr="00391C0C">
        <w:t xml:space="preserve"> H</w:t>
      </w:r>
      <w:r w:rsidRPr="00391C0C">
        <w:rPr>
          <w:vertAlign w:val="subscript"/>
        </w:rPr>
        <w:t>2</w:t>
      </w:r>
      <w:r w:rsidRPr="00391C0C">
        <w:t>PO</w:t>
      </w:r>
      <w:r w:rsidRPr="00391C0C">
        <w:rPr>
          <w:vertAlign w:val="subscript"/>
        </w:rPr>
        <w:t>4</w:t>
      </w:r>
      <w:r w:rsidRPr="00391C0C">
        <w:rPr>
          <w:vertAlign w:val="superscript"/>
        </w:rPr>
        <w:t>-</w:t>
      </w:r>
      <w:r w:rsidRPr="00391C0C">
        <w:rPr>
          <w:vertAlign w:val="subscript"/>
        </w:rPr>
        <w:t>(</w:t>
      </w:r>
      <w:proofErr w:type="spellStart"/>
      <w:r w:rsidRPr="00391C0C">
        <w:rPr>
          <w:vertAlign w:val="subscript"/>
        </w:rPr>
        <w:t>aq</w:t>
      </w:r>
      <w:proofErr w:type="spellEnd"/>
      <w:r w:rsidRPr="00391C0C">
        <w:rPr>
          <w:vertAlign w:val="subscript"/>
        </w:rPr>
        <w:t>)</w:t>
      </w:r>
      <w:r w:rsidRPr="00391C0C">
        <w:t xml:space="preserve"> + H</w:t>
      </w:r>
      <w:r w:rsidRPr="00391C0C">
        <w:rPr>
          <w:vertAlign w:val="subscript"/>
        </w:rPr>
        <w:t>2</w:t>
      </w:r>
      <w:r w:rsidRPr="00391C0C">
        <w:t>O</w:t>
      </w:r>
      <w:r w:rsidRPr="00391C0C">
        <w:rPr>
          <w:vertAlign w:val="subscript"/>
        </w:rPr>
        <w:t>(l)</w:t>
      </w:r>
      <w:r w:rsidRPr="00391C0C">
        <w:t xml:space="preserve"> ⇌ H</w:t>
      </w:r>
      <w:r w:rsidRPr="00391C0C">
        <w:rPr>
          <w:vertAlign w:val="subscript"/>
        </w:rPr>
        <w:t>3</w:t>
      </w:r>
      <w:r w:rsidRPr="00391C0C">
        <w:t>O</w:t>
      </w:r>
      <w:r w:rsidRPr="00391C0C">
        <w:rPr>
          <w:vertAlign w:val="superscript"/>
        </w:rPr>
        <w:t>+</w:t>
      </w:r>
      <w:r w:rsidRPr="00391C0C">
        <w:rPr>
          <w:vertAlign w:val="subscript"/>
        </w:rPr>
        <w:t>(</w:t>
      </w:r>
      <w:proofErr w:type="spellStart"/>
      <w:r w:rsidRPr="00391C0C">
        <w:rPr>
          <w:vertAlign w:val="subscript"/>
        </w:rPr>
        <w:t>aq</w:t>
      </w:r>
      <w:proofErr w:type="spellEnd"/>
      <w:r w:rsidRPr="00391C0C">
        <w:rPr>
          <w:vertAlign w:val="subscript"/>
        </w:rPr>
        <w:t>)</w:t>
      </w:r>
      <w:r w:rsidRPr="00391C0C">
        <w:t xml:space="preserve"> + HPO</w:t>
      </w:r>
      <w:r w:rsidRPr="00391C0C">
        <w:rPr>
          <w:vertAlign w:val="subscript"/>
        </w:rPr>
        <w:t>4</w:t>
      </w:r>
      <w:r w:rsidRPr="00391C0C">
        <w:rPr>
          <w:vertAlign w:val="superscript"/>
        </w:rPr>
        <w:t>2-</w:t>
      </w:r>
      <w:r w:rsidRPr="00391C0C">
        <w:rPr>
          <w:vertAlign w:val="subscript"/>
        </w:rPr>
        <w:t>(</w:t>
      </w:r>
      <w:proofErr w:type="spellStart"/>
      <w:r w:rsidRPr="00391C0C">
        <w:rPr>
          <w:vertAlign w:val="subscript"/>
        </w:rPr>
        <w:t>aq</w:t>
      </w:r>
      <w:proofErr w:type="spellEnd"/>
      <w:r w:rsidRPr="00391C0C">
        <w:rPr>
          <w:vertAlign w:val="subscript"/>
        </w:rPr>
        <w:t>)</w:t>
      </w:r>
      <w:r w:rsidR="009B781F">
        <w:tab/>
      </w:r>
      <w:r w:rsidR="009B781F">
        <w:tab/>
      </w:r>
      <w:proofErr w:type="spellStart"/>
      <w:r w:rsidR="009B781F">
        <w:t>pK</w:t>
      </w:r>
      <w:r w:rsidR="009B781F">
        <w:rPr>
          <w:vertAlign w:val="subscript"/>
        </w:rPr>
        <w:t>S</w:t>
      </w:r>
      <w:proofErr w:type="spellEnd"/>
      <w:r w:rsidR="009B781F">
        <w:t xml:space="preserve">= </w:t>
      </w:r>
      <w:r w:rsidR="008D547D">
        <w:t>7,21</w:t>
      </w:r>
    </w:p>
    <w:p w:rsidR="00391C0C" w:rsidRPr="009B781F" w:rsidRDefault="00391C0C" w:rsidP="00391C0C">
      <w:pPr>
        <w:ind w:left="2127"/>
        <w:rPr>
          <w:u w:val="single"/>
        </w:rPr>
      </w:pPr>
      <w:r w:rsidRPr="00391C0C">
        <w:rPr>
          <w:u w:val="single"/>
        </w:rPr>
        <w:t xml:space="preserve">RG 3: </w:t>
      </w:r>
      <w:r w:rsidRPr="00391C0C">
        <w:t>HPO</w:t>
      </w:r>
      <w:r w:rsidRPr="00391C0C">
        <w:rPr>
          <w:vertAlign w:val="subscript"/>
        </w:rPr>
        <w:t>4</w:t>
      </w:r>
      <w:r w:rsidRPr="00391C0C">
        <w:rPr>
          <w:vertAlign w:val="superscript"/>
        </w:rPr>
        <w:t>2-</w:t>
      </w:r>
      <w:r w:rsidRPr="00391C0C">
        <w:rPr>
          <w:vertAlign w:val="subscript"/>
        </w:rPr>
        <w:t>(</w:t>
      </w:r>
      <w:proofErr w:type="spellStart"/>
      <w:r w:rsidRPr="00391C0C">
        <w:rPr>
          <w:vertAlign w:val="subscript"/>
        </w:rPr>
        <w:t>aq</w:t>
      </w:r>
      <w:proofErr w:type="spellEnd"/>
      <w:r w:rsidRPr="00391C0C">
        <w:rPr>
          <w:vertAlign w:val="subscript"/>
        </w:rPr>
        <w:t>)</w:t>
      </w:r>
      <w:r w:rsidRPr="00391C0C">
        <w:t xml:space="preserve"> + H</w:t>
      </w:r>
      <w:r w:rsidRPr="00391C0C">
        <w:rPr>
          <w:vertAlign w:val="subscript"/>
        </w:rPr>
        <w:t>2</w:t>
      </w:r>
      <w:r w:rsidRPr="00391C0C">
        <w:t>O</w:t>
      </w:r>
      <w:r w:rsidRPr="00391C0C">
        <w:rPr>
          <w:vertAlign w:val="subscript"/>
        </w:rPr>
        <w:t>(l)</w:t>
      </w:r>
      <w:r w:rsidRPr="00391C0C">
        <w:t xml:space="preserve"> ⇌ H</w:t>
      </w:r>
      <w:r w:rsidRPr="00391C0C">
        <w:rPr>
          <w:vertAlign w:val="subscript"/>
        </w:rPr>
        <w:t>3</w:t>
      </w:r>
      <w:r w:rsidRPr="00391C0C">
        <w:t>O</w:t>
      </w:r>
      <w:r w:rsidRPr="00391C0C">
        <w:rPr>
          <w:vertAlign w:val="superscript"/>
        </w:rPr>
        <w:t>+</w:t>
      </w:r>
      <w:r w:rsidRPr="00391C0C">
        <w:rPr>
          <w:vertAlign w:val="subscript"/>
        </w:rPr>
        <w:t>(</w:t>
      </w:r>
      <w:proofErr w:type="spellStart"/>
      <w:r w:rsidRPr="00391C0C">
        <w:rPr>
          <w:vertAlign w:val="subscript"/>
        </w:rPr>
        <w:t>aq</w:t>
      </w:r>
      <w:proofErr w:type="spellEnd"/>
      <w:r w:rsidRPr="00391C0C">
        <w:rPr>
          <w:vertAlign w:val="subscript"/>
        </w:rPr>
        <w:t>)</w:t>
      </w:r>
      <w:r w:rsidRPr="00391C0C">
        <w:t xml:space="preserve"> + PO</w:t>
      </w:r>
      <w:r w:rsidRPr="00391C0C">
        <w:rPr>
          <w:vertAlign w:val="subscript"/>
        </w:rPr>
        <w:t>4</w:t>
      </w:r>
      <w:r w:rsidRPr="00391C0C">
        <w:rPr>
          <w:vertAlign w:val="superscript"/>
        </w:rPr>
        <w:t>3-</w:t>
      </w:r>
      <w:r w:rsidRPr="00391C0C">
        <w:rPr>
          <w:vertAlign w:val="subscript"/>
        </w:rPr>
        <w:t>(</w:t>
      </w:r>
      <w:proofErr w:type="spellStart"/>
      <w:r w:rsidRPr="00391C0C">
        <w:rPr>
          <w:vertAlign w:val="subscript"/>
        </w:rPr>
        <w:t>aq</w:t>
      </w:r>
      <w:proofErr w:type="spellEnd"/>
      <w:r w:rsidRPr="00391C0C">
        <w:rPr>
          <w:vertAlign w:val="subscript"/>
        </w:rPr>
        <w:t>)</w:t>
      </w:r>
      <w:r w:rsidR="009B781F">
        <w:tab/>
      </w:r>
      <w:r w:rsidR="009B781F">
        <w:tab/>
      </w:r>
      <w:proofErr w:type="spellStart"/>
      <w:r w:rsidR="009B781F">
        <w:t>pK</w:t>
      </w:r>
      <w:r w:rsidR="009B781F">
        <w:rPr>
          <w:vertAlign w:val="subscript"/>
        </w:rPr>
        <w:t>S</w:t>
      </w:r>
      <w:proofErr w:type="spellEnd"/>
      <w:r w:rsidR="00EE2E7C">
        <w:t>=12,3</w:t>
      </w:r>
      <w:r w:rsidR="006D2D51">
        <w:t>2</w:t>
      </w:r>
    </w:p>
    <w:p w:rsidR="009B781F" w:rsidRDefault="007F767D" w:rsidP="00391C0C">
      <w:pPr>
        <w:ind w:left="2127"/>
      </w:pPr>
      <w:r>
        <w:t xml:space="preserve">Aufgrund der hohen Differenz zwischen den einzelnen </w:t>
      </w:r>
      <w:proofErr w:type="spellStart"/>
      <w:r w:rsidR="001027A9" w:rsidRPr="001027A9">
        <w:t>pK</w:t>
      </w:r>
      <w:r w:rsidR="001027A9" w:rsidRPr="001027A9">
        <w:rPr>
          <w:vertAlign w:val="subscript"/>
        </w:rPr>
        <w:t>S</w:t>
      </w:r>
      <w:proofErr w:type="spellEnd"/>
      <w:r w:rsidR="001027A9">
        <w:t>-Werten</w:t>
      </w:r>
      <w:r w:rsidR="00E670D3">
        <w:t xml:space="preserve"> </w:t>
      </w:r>
      <w:r>
        <w:t>kö</w:t>
      </w:r>
      <w:r>
        <w:t>n</w:t>
      </w:r>
      <w:r>
        <w:t>nen die Dissoziationsstufen einzeln betrachtet werden.</w:t>
      </w:r>
    </w:p>
    <w:p w:rsidR="00151A65" w:rsidRDefault="002708D1" w:rsidP="00391C0C">
      <w:pPr>
        <w:ind w:left="2127"/>
      </w:pPr>
      <w:r>
        <w:t xml:space="preserve">Zu Beginn der Titration enthält die Lösung zum größten Teil </w:t>
      </w:r>
      <w:r w:rsidRPr="00391C0C">
        <w:t>H</w:t>
      </w:r>
      <w:r w:rsidRPr="00391C0C">
        <w:rPr>
          <w:vertAlign w:val="subscript"/>
        </w:rPr>
        <w:t>3</w:t>
      </w:r>
      <w:r w:rsidRPr="00391C0C">
        <w:t>PO</w:t>
      </w:r>
      <w:r w:rsidRPr="00391C0C">
        <w:rPr>
          <w:vertAlign w:val="subscript"/>
        </w:rPr>
        <w:t>4</w:t>
      </w:r>
      <w:r>
        <w:rPr>
          <w:vertAlign w:val="subscript"/>
        </w:rPr>
        <w:t xml:space="preserve"> </w:t>
      </w:r>
      <w:proofErr w:type="gramStart"/>
      <w:r>
        <w:t xml:space="preserve">und </w:t>
      </w:r>
      <m:oMath>
        <w:proofErr w:type="gramEnd"/>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PO</m:t>
            </m:r>
          </m:e>
          <m:sub>
            <m:r>
              <m:rPr>
                <m:sty m:val="p"/>
              </m:rPr>
              <w:rPr>
                <w:rFonts w:ascii="Cambria Math" w:hAnsi="Cambria Math"/>
              </w:rPr>
              <m:t>4</m:t>
            </m:r>
          </m:sub>
          <m:sup>
            <m:r>
              <m:rPr>
                <m:sty m:val="p"/>
              </m:rPr>
              <w:rPr>
                <w:rFonts w:ascii="Cambria Math" w:hAnsi="Cambria Math"/>
              </w:rPr>
              <m:t>-</m:t>
            </m:r>
          </m:sup>
        </m:sSubSup>
      </m:oMath>
      <w:r>
        <w:t xml:space="preserve">. Durch Natronlauge-Zugabe werden die Phosphorsäure-Moleküle in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PO</m:t>
            </m:r>
          </m:e>
          <m:sub>
            <m:r>
              <m:rPr>
                <m:sty m:val="p"/>
              </m:rPr>
              <w:rPr>
                <w:rFonts w:ascii="Cambria Math" w:hAnsi="Cambria Math"/>
              </w:rPr>
              <m:t>4</m:t>
            </m:r>
          </m:sub>
          <m:sup>
            <m:r>
              <m:rPr>
                <m:sty m:val="p"/>
              </m:rPr>
              <w:rPr>
                <w:rFonts w:ascii="Cambria Math" w:hAnsi="Cambria Math"/>
              </w:rPr>
              <m:t>-</m:t>
            </m:r>
          </m:sup>
        </m:sSubSup>
      </m:oMath>
      <w:r w:rsidR="00E96A35">
        <w:t>-</w:t>
      </w:r>
      <w:r>
        <w:t xml:space="preserve">Ionen überführt, bis beim ersten Äquivalenzpunkt (ÄP) nur noch </w:t>
      </w:r>
      <w:r w:rsidRPr="00391C0C">
        <w:t>H</w:t>
      </w:r>
      <w:r w:rsidRPr="00391C0C">
        <w:rPr>
          <w:vertAlign w:val="subscript"/>
        </w:rPr>
        <w:t>2</w:t>
      </w:r>
      <w:r w:rsidRPr="00391C0C">
        <w:t>PO</w:t>
      </w:r>
      <w:r w:rsidRPr="00391C0C">
        <w:rPr>
          <w:vertAlign w:val="subscript"/>
        </w:rPr>
        <w:t>4</w:t>
      </w:r>
      <w:r>
        <w:rPr>
          <w:vertAlign w:val="superscript"/>
        </w:rPr>
        <w:t>-</w:t>
      </w:r>
      <w:r w:rsidRPr="002708D1">
        <w:t>—</w:t>
      </w:r>
      <w:r>
        <w:t>Ionen vorliegen.</w:t>
      </w:r>
      <w:r w:rsidR="008B098F">
        <w:t xml:space="preserve"> Dies kommt dadurch zustande, weil der </w:t>
      </w:r>
      <w:proofErr w:type="spellStart"/>
      <w:r w:rsidR="008B098F">
        <w:t>pK</w:t>
      </w:r>
      <w:r w:rsidR="008B098F">
        <w:rPr>
          <w:vertAlign w:val="subscript"/>
        </w:rPr>
        <w:t>S</w:t>
      </w:r>
      <w:proofErr w:type="spellEnd"/>
      <w:r w:rsidR="008B098F">
        <w:t xml:space="preserve">-Wert der Phosphorsäure so gering ist, dissoziiert diese vollständig zu </w:t>
      </w:r>
      <w:proofErr w:type="spellStart"/>
      <w:r w:rsidR="008B098F">
        <w:t>Dihydrogenphospat</w:t>
      </w:r>
      <w:proofErr w:type="spellEnd"/>
      <w:r w:rsidR="008B098F">
        <w:t>-Ionen.</w:t>
      </w:r>
      <w:r>
        <w:t xml:space="preserve"> Beim zweiten ÄP liegen nur noch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PO</m:t>
            </m:r>
          </m:e>
          <m:sub>
            <m:r>
              <m:rPr>
                <m:sty m:val="p"/>
              </m:rPr>
              <w:rPr>
                <w:rFonts w:ascii="Cambria Math" w:hAnsi="Cambria Math"/>
              </w:rPr>
              <m:t>4</m:t>
            </m:r>
          </m:sub>
          <m:sup>
            <m:r>
              <m:rPr>
                <m:sty m:val="p"/>
              </m:rPr>
              <w:rPr>
                <w:rFonts w:ascii="Cambria Math" w:hAnsi="Cambria Math"/>
              </w:rPr>
              <m:t>-</m:t>
            </m:r>
          </m:sup>
        </m:sSubSup>
      </m:oMath>
      <w:r w:rsidR="001F1653">
        <w:rPr>
          <w:rFonts w:eastAsiaTheme="minorEastAsia"/>
        </w:rPr>
        <w:t>-</w:t>
      </w:r>
      <w:r>
        <w:t xml:space="preserve">Ionen vor, am dritten ÄP nur noch </w:t>
      </w:r>
      <m:oMath>
        <m:sSubSup>
          <m:sSubSupPr>
            <m:ctrlPr>
              <w:rPr>
                <w:rFonts w:ascii="Cambria Math" w:hAnsi="Cambria Math"/>
              </w:rPr>
            </m:ctrlPr>
          </m:sSubSupPr>
          <m:e>
            <m:r>
              <m:rPr>
                <m:sty m:val="p"/>
              </m:rPr>
              <w:rPr>
                <w:rFonts w:ascii="Cambria Math" w:hAnsi="Cambria Math"/>
              </w:rPr>
              <m:t>PO</m:t>
            </m:r>
          </m:e>
          <m:sub>
            <m:r>
              <m:rPr>
                <m:sty m:val="p"/>
              </m:rPr>
              <w:rPr>
                <w:rFonts w:ascii="Cambria Math" w:hAnsi="Cambria Math"/>
              </w:rPr>
              <m:t>4</m:t>
            </m:r>
          </m:sub>
          <m:sup>
            <m:r>
              <m:rPr>
                <m:sty m:val="p"/>
              </m:rPr>
              <w:rPr>
                <w:rFonts w:ascii="Cambria Math" w:hAnsi="Cambria Math"/>
              </w:rPr>
              <m:t>3-</m:t>
            </m:r>
          </m:sup>
        </m:sSubSup>
      </m:oMath>
      <w:r>
        <w:t>-Ionen.</w:t>
      </w:r>
      <w:r w:rsidR="00C43286">
        <w:t xml:space="preserve"> </w:t>
      </w:r>
      <w:r w:rsidR="00333822">
        <w:t>Mit den erhaltenen We</w:t>
      </w:r>
      <w:r w:rsidR="00333822">
        <w:t>r</w:t>
      </w:r>
      <w:r w:rsidR="00333822">
        <w:t>ten ist es nun möglich den Gehalt an Phosphorsäure zu ermitteln,</w:t>
      </w:r>
      <w:r w:rsidR="00F42B1C">
        <w:t xml:space="preserve"> dafür wird der erste </w:t>
      </w:r>
      <w:proofErr w:type="spellStart"/>
      <w:r w:rsidR="00F42B1C">
        <w:t>Protolyse</w:t>
      </w:r>
      <w:r w:rsidR="00333822">
        <w:t>schritt</w:t>
      </w:r>
      <w:proofErr w:type="spellEnd"/>
      <w:r w:rsidR="00333822">
        <w:t xml:space="preserve"> (RG 1) betrachtet. Um die </w:t>
      </w:r>
      <w:proofErr w:type="spellStart"/>
      <w:r w:rsidR="00333822">
        <w:t>ÄP´s</w:t>
      </w:r>
      <w:proofErr w:type="spellEnd"/>
      <w:r w:rsidR="00333822">
        <w:t xml:space="preserve"> ablesen zu können werden diese mithilfe der Dreigeraden-Methode bestimmt.</w:t>
      </w:r>
      <w:r w:rsidR="00151A65">
        <w:t xml:space="preserve"> Durch die Extrapolation wurden für die ersten beiden ÄP folgende Werte erha</w:t>
      </w:r>
      <w:r w:rsidR="00151A65">
        <w:t>l</w:t>
      </w:r>
      <w:r w:rsidR="00151A65">
        <w:t>ten:</w:t>
      </w:r>
    </w:p>
    <w:tbl>
      <w:tblPr>
        <w:tblStyle w:val="Tabellengitternetz"/>
        <w:tblW w:w="0" w:type="auto"/>
        <w:tblInd w:w="2235" w:type="dxa"/>
        <w:tblBorders>
          <w:insideH w:val="none" w:sz="0" w:space="0" w:color="auto"/>
          <w:insideV w:val="none" w:sz="0" w:space="0" w:color="auto"/>
        </w:tblBorders>
        <w:tblLook w:val="04A0"/>
      </w:tblPr>
      <w:tblGrid>
        <w:gridCol w:w="2279"/>
        <w:gridCol w:w="2387"/>
        <w:gridCol w:w="2387"/>
      </w:tblGrid>
      <w:tr w:rsidR="00151A65" w:rsidTr="00151A65">
        <w:tc>
          <w:tcPr>
            <w:tcW w:w="2279" w:type="dxa"/>
          </w:tcPr>
          <w:p w:rsidR="00151A65" w:rsidRDefault="00151A65" w:rsidP="00151A65">
            <w:pPr>
              <w:jc w:val="center"/>
            </w:pPr>
          </w:p>
        </w:tc>
        <w:tc>
          <w:tcPr>
            <w:tcW w:w="2387" w:type="dxa"/>
          </w:tcPr>
          <w:p w:rsidR="00151A65" w:rsidRDefault="00151A65" w:rsidP="00151A65">
            <w:pPr>
              <w:jc w:val="center"/>
            </w:pPr>
            <w:r>
              <w:t>1.ÄP</w:t>
            </w:r>
          </w:p>
        </w:tc>
        <w:tc>
          <w:tcPr>
            <w:tcW w:w="2387" w:type="dxa"/>
          </w:tcPr>
          <w:p w:rsidR="00151A65" w:rsidRDefault="00151A65" w:rsidP="00151A65">
            <w:pPr>
              <w:jc w:val="center"/>
            </w:pPr>
            <w:r>
              <w:t>2.ÄP</w:t>
            </w:r>
          </w:p>
        </w:tc>
      </w:tr>
      <w:tr w:rsidR="00151A65" w:rsidTr="00151A65">
        <w:tc>
          <w:tcPr>
            <w:tcW w:w="2279" w:type="dxa"/>
          </w:tcPr>
          <w:p w:rsidR="00151A65" w:rsidRDefault="00151A65" w:rsidP="00151A65">
            <w:pPr>
              <w:jc w:val="center"/>
            </w:pPr>
            <w:r>
              <w:t>V(</w:t>
            </w:r>
            <w:proofErr w:type="spellStart"/>
            <w:r>
              <w:t>NaOH</w:t>
            </w:r>
            <w:proofErr w:type="spellEnd"/>
            <w:r>
              <w:t>) [ml]</w:t>
            </w:r>
          </w:p>
        </w:tc>
        <w:tc>
          <w:tcPr>
            <w:tcW w:w="2387" w:type="dxa"/>
          </w:tcPr>
          <w:p w:rsidR="00151A65" w:rsidRDefault="00151A65" w:rsidP="00151A65">
            <w:pPr>
              <w:jc w:val="center"/>
            </w:pPr>
            <w:r>
              <w:t>4,7</w:t>
            </w:r>
          </w:p>
        </w:tc>
        <w:tc>
          <w:tcPr>
            <w:tcW w:w="2387" w:type="dxa"/>
          </w:tcPr>
          <w:p w:rsidR="00151A65" w:rsidRDefault="00151A65" w:rsidP="00151A65">
            <w:pPr>
              <w:jc w:val="center"/>
            </w:pPr>
            <w:r>
              <w:t>10,2</w:t>
            </w:r>
          </w:p>
        </w:tc>
      </w:tr>
      <w:tr w:rsidR="00151A65" w:rsidTr="00151A65">
        <w:tc>
          <w:tcPr>
            <w:tcW w:w="2279" w:type="dxa"/>
          </w:tcPr>
          <w:p w:rsidR="00151A65" w:rsidRDefault="00151A65" w:rsidP="00151A65">
            <w:pPr>
              <w:jc w:val="center"/>
            </w:pPr>
            <w:r>
              <w:t>pH-Wert</w:t>
            </w:r>
          </w:p>
        </w:tc>
        <w:tc>
          <w:tcPr>
            <w:tcW w:w="2387" w:type="dxa"/>
          </w:tcPr>
          <w:p w:rsidR="00151A65" w:rsidRDefault="00151A65" w:rsidP="00151A65">
            <w:pPr>
              <w:jc w:val="center"/>
            </w:pPr>
            <w:r>
              <w:t>4,4</w:t>
            </w:r>
          </w:p>
        </w:tc>
        <w:tc>
          <w:tcPr>
            <w:tcW w:w="2387" w:type="dxa"/>
          </w:tcPr>
          <w:p w:rsidR="00151A65" w:rsidRDefault="00151A65" w:rsidP="00151A65">
            <w:pPr>
              <w:jc w:val="center"/>
            </w:pPr>
            <w:r>
              <w:t>8,7</w:t>
            </w:r>
          </w:p>
        </w:tc>
      </w:tr>
    </w:tbl>
    <w:p w:rsidR="001027A9" w:rsidRDefault="001027A9" w:rsidP="00391C0C">
      <w:pPr>
        <w:ind w:left="2127"/>
      </w:pPr>
    </w:p>
    <w:p w:rsidR="00151A65" w:rsidRDefault="00151A65" w:rsidP="00391C0C">
      <w:pPr>
        <w:ind w:left="2127"/>
      </w:pPr>
      <w:r>
        <w:t>Am Äquivalenzpunkt liegen äquimolare Stoffmengen der Säure und der Base vor, deshalb gilt dort:</w:t>
      </w:r>
    </w:p>
    <w:p w:rsidR="00151A65" w:rsidRDefault="00D837BB" w:rsidP="00391C0C">
      <w:pPr>
        <w:ind w:left="2127"/>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Säure</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Base</m:t>
              </m:r>
            </m:sub>
          </m:sSub>
        </m:oMath>
      </m:oMathPara>
    </w:p>
    <w:p w:rsidR="00151A65" w:rsidRDefault="00151A65" w:rsidP="00391C0C">
      <w:pPr>
        <w:ind w:left="2127"/>
      </w:pPr>
      <w:r>
        <w:t xml:space="preserve">Die Formel für die Stoffmengenkonzentration wird </w:t>
      </w:r>
      <w:r w:rsidR="00B96C95">
        <w:t>nach der Stoffmenge umgestellt und dadurch ersetzt.</w:t>
      </w:r>
    </w:p>
    <w:p w:rsidR="002708D1" w:rsidRDefault="00333822" w:rsidP="00391C0C">
      <w:pPr>
        <w:ind w:left="2127"/>
      </w:pPr>
      <w:r>
        <w:t xml:space="preserve">Für die Berechnung wird folgende Formel verwendet: </w:t>
      </w:r>
    </w:p>
    <w:p w:rsidR="00333822" w:rsidRPr="00AA6C94" w:rsidRDefault="00D837BB" w:rsidP="00391C0C">
      <w:pPr>
        <w:ind w:left="2127"/>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Säure</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Base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Base</m:t>
              </m:r>
            </m:sub>
          </m:sSub>
        </m:oMath>
      </m:oMathPara>
    </w:p>
    <w:p w:rsidR="00391C0C" w:rsidRDefault="000C25C6" w:rsidP="000C25C6">
      <w:pPr>
        <w:ind w:left="2127"/>
      </w:pPr>
      <w:r>
        <w:t>Die Formel wird nach der Konzentration der Säure umgestellt, so wird folgendes erhalten:</w:t>
      </w:r>
    </w:p>
    <w:p w:rsidR="000C25C6" w:rsidRPr="00AA6C94" w:rsidRDefault="00D837BB" w:rsidP="000C25C6">
      <w:pPr>
        <w:ind w:left="2127"/>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 xml:space="preserve">Base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Base</m:t>
                  </m:r>
                </m:sub>
              </m:sSub>
            </m:num>
            <m:den>
              <m:sSub>
                <m:sSubPr>
                  <m:ctrlPr>
                    <w:rPr>
                      <w:rFonts w:ascii="Cambria Math" w:hAnsi="Cambria Math"/>
                      <w:i/>
                    </w:rPr>
                  </m:ctrlPr>
                </m:sSubPr>
                <m:e>
                  <m:r>
                    <w:rPr>
                      <w:rFonts w:ascii="Cambria Math" w:hAnsi="Cambria Math"/>
                    </w:rPr>
                    <m:t>V</m:t>
                  </m:r>
                </m:e>
                <m:sub>
                  <m:r>
                    <w:rPr>
                      <w:rFonts w:ascii="Cambria Math" w:hAnsi="Cambria Math"/>
                    </w:rPr>
                    <m:t>Säure</m:t>
                  </m:r>
                </m:sub>
              </m:sSub>
            </m:den>
          </m:f>
        </m:oMath>
      </m:oMathPara>
    </w:p>
    <w:p w:rsidR="000C25C6" w:rsidRDefault="000C25C6" w:rsidP="000C25C6">
      <w:pPr>
        <w:ind w:left="2127"/>
      </w:pPr>
      <w:r>
        <w:t>Nun werden die Werte in die Formel eingesetzt:</w:t>
      </w:r>
    </w:p>
    <w:p w:rsidR="000C25C6" w:rsidRDefault="00D837BB" w:rsidP="000C25C6">
      <w:pPr>
        <w:ind w:left="2127"/>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 xml:space="preserve">= </m:t>
          </m:r>
          <m:f>
            <m:fPr>
              <m:ctrlPr>
                <w:rPr>
                  <w:rFonts w:ascii="Cambria Math" w:hAnsi="Cambria Math"/>
                  <w:i/>
                </w:rPr>
              </m:ctrlPr>
            </m:fPr>
            <m:num>
              <m:r>
                <w:rPr>
                  <w:rFonts w:ascii="Cambria Math" w:hAnsi="Cambria Math"/>
                </w:rPr>
                <m:t xml:space="preserve">0,1 </m:t>
              </m:r>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hAnsi="Cambria Math"/>
                </w:rPr>
                <m:t xml:space="preserve">∙0,0047 </m:t>
              </m:r>
              <m:r>
                <m:rPr>
                  <m:sty m:val="p"/>
                </m:rPr>
                <w:rPr>
                  <w:rFonts w:ascii="Cambria Math" w:hAnsi="Cambria Math"/>
                </w:rPr>
                <m:t>L</m:t>
              </m:r>
            </m:num>
            <m:den>
              <m:r>
                <w:rPr>
                  <w:rFonts w:ascii="Cambria Math" w:hAnsi="Cambria Math"/>
                </w:rPr>
                <m:t xml:space="preserve">0,100 </m:t>
              </m:r>
              <m:r>
                <m:rPr>
                  <m:sty m:val="p"/>
                </m:rPr>
                <w:rPr>
                  <w:rFonts w:ascii="Cambria Math" w:hAnsi="Cambria Math"/>
                </w:rPr>
                <m:t>L</m:t>
              </m:r>
            </m:den>
          </m:f>
          <m:r>
            <w:rPr>
              <w:rFonts w:ascii="Cambria Math" w:hAnsi="Cambria Math"/>
            </w:rPr>
            <m:t>=4,7 ∙</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eastAsiaTheme="minorEastAsia" w:hAnsi="Cambria Math"/>
            </w:rPr>
            <m:t xml:space="preserve">=34,7 </m:t>
          </m:r>
          <m:f>
            <m:fPr>
              <m:ctrlPr>
                <w:rPr>
                  <w:rFonts w:ascii="Cambria Math" w:hAnsi="Cambria Math"/>
                </w:rPr>
              </m:ctrlPr>
            </m:fPr>
            <m:num>
              <m:r>
                <m:rPr>
                  <m:sty m:val="p"/>
                </m:rPr>
                <w:rPr>
                  <w:rFonts w:ascii="Cambria Math" w:hAnsi="Cambria Math"/>
                </w:rPr>
                <m:t>mmol</m:t>
              </m:r>
            </m:num>
            <m:den>
              <m:r>
                <m:rPr>
                  <m:sty m:val="p"/>
                </m:rPr>
                <w:rPr>
                  <w:rFonts w:ascii="Cambria Math" w:hAnsi="Cambria Math"/>
                </w:rPr>
                <m:t>L</m:t>
              </m:r>
            </m:den>
          </m:f>
        </m:oMath>
      </m:oMathPara>
    </w:p>
    <w:p w:rsidR="000C25C6" w:rsidRDefault="009414ED" w:rsidP="000C25C6">
      <w:pPr>
        <w:ind w:left="2127"/>
      </w:pPr>
      <w:r>
        <w:t>Nun wird mit der molaren Masse der Phosphorsäure der Wert gemäß der nachfolgenden Gleichung verrechnet, um die exakte Menge zu erhalten.</w:t>
      </w:r>
    </w:p>
    <w:p w:rsidR="009414ED" w:rsidRDefault="009414ED" w:rsidP="000C25C6">
      <w:pPr>
        <w:ind w:left="2127"/>
        <w:rPr>
          <w:rFonts w:eastAsiaTheme="minorEastAsia"/>
        </w:rPr>
      </w:pPr>
      <m:oMathPara>
        <m:oMath>
          <m:r>
            <w:rPr>
              <w:rFonts w:ascii="Cambria Math" w:hAnsi="Cambria Math"/>
            </w:rPr>
            <m:t xml:space="preserve">m= </m:t>
          </m:r>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∙M</m:t>
          </m:r>
          <m:r>
            <w:rPr>
              <w:rFonts w:ascii="Cambria Math" w:eastAsiaTheme="minorEastAsia" w:hAnsi="Cambria Math"/>
            </w:rPr>
            <m:t xml:space="preserve">= </m:t>
          </m:r>
          <m:r>
            <w:rPr>
              <w:rFonts w:ascii="Cambria Math" w:hAnsi="Cambria Math"/>
            </w:rPr>
            <m:t>4,7 ∙</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eastAsiaTheme="minorEastAsia" w:hAnsi="Cambria Math"/>
            </w:rPr>
            <m:t xml:space="preserve"> ∙98 </m:t>
          </m:r>
          <m:f>
            <m:fPr>
              <m:ctrlPr>
                <w:rPr>
                  <w:rFonts w:ascii="Cambria Math" w:eastAsiaTheme="minorEastAsia" w:hAnsi="Cambria Math"/>
                </w:rPr>
              </m:ctrlPr>
            </m:fPr>
            <m:num>
              <m:r>
                <m:rPr>
                  <m:sty m:val="p"/>
                </m:rPr>
                <w:rPr>
                  <w:rFonts w:ascii="Cambria Math" w:eastAsiaTheme="minorEastAsia" w:hAnsi="Cambria Math"/>
                </w:rPr>
                <m:t>g</m:t>
              </m:r>
            </m:num>
            <m:den>
              <m:r>
                <m:rPr>
                  <m:sty m:val="p"/>
                </m:rPr>
                <w:rPr>
                  <w:rFonts w:ascii="Cambria Math" w:eastAsiaTheme="minorEastAsia" w:hAnsi="Cambria Math"/>
                </w:rPr>
                <m:t>mol</m:t>
              </m:r>
            </m:den>
          </m:f>
          <m:r>
            <m:rPr>
              <m:sty m:val="p"/>
            </m:rPr>
            <w:rPr>
              <w:rFonts w:ascii="Cambria Math" w:eastAsiaTheme="minorEastAsia" w:hAnsi="Cambria Math"/>
            </w:rPr>
            <m:t xml:space="preserve">=0,461 </m:t>
          </m:r>
          <m:f>
            <m:fPr>
              <m:ctrlPr>
                <w:rPr>
                  <w:rFonts w:ascii="Cambria Math" w:eastAsiaTheme="minorEastAsia" w:hAnsi="Cambria Math"/>
                </w:rPr>
              </m:ctrlPr>
            </m:fPr>
            <m:num>
              <m:r>
                <m:rPr>
                  <m:sty m:val="p"/>
                </m:rPr>
                <w:rPr>
                  <w:rFonts w:ascii="Cambria Math" w:eastAsiaTheme="minorEastAsia" w:hAnsi="Cambria Math"/>
                </w:rPr>
                <m:t>g</m:t>
              </m:r>
            </m:num>
            <m:den>
              <m:r>
                <m:rPr>
                  <m:sty m:val="p"/>
                </m:rPr>
                <w:rPr>
                  <w:rFonts w:ascii="Cambria Math" w:eastAsiaTheme="minorEastAsia" w:hAnsi="Cambria Math"/>
                </w:rPr>
                <m:t>L</m:t>
              </m:r>
            </m:den>
          </m:f>
          <m:r>
            <m:rPr>
              <m:sty m:val="p"/>
            </m:rPr>
            <w:rPr>
              <w:rFonts w:ascii="Cambria Math" w:eastAsiaTheme="minorEastAsia" w:hAnsi="Cambria Math"/>
            </w:rPr>
            <m:t xml:space="preserve">=461 </m:t>
          </m:r>
          <m:f>
            <m:fPr>
              <m:ctrlPr>
                <w:rPr>
                  <w:rFonts w:ascii="Cambria Math" w:eastAsiaTheme="minorEastAsia" w:hAnsi="Cambria Math"/>
                </w:rPr>
              </m:ctrlPr>
            </m:fPr>
            <m:num>
              <m:r>
                <m:rPr>
                  <m:sty m:val="p"/>
                </m:rPr>
                <w:rPr>
                  <w:rFonts w:ascii="Cambria Math" w:eastAsiaTheme="minorEastAsia" w:hAnsi="Cambria Math"/>
                </w:rPr>
                <m:t>mg</m:t>
              </m:r>
            </m:num>
            <m:den>
              <m:r>
                <m:rPr>
                  <m:sty m:val="p"/>
                </m:rPr>
                <w:rPr>
                  <w:rFonts w:ascii="Cambria Math" w:eastAsiaTheme="minorEastAsia" w:hAnsi="Cambria Math"/>
                </w:rPr>
                <m:t>L</m:t>
              </m:r>
            </m:den>
          </m:f>
        </m:oMath>
      </m:oMathPara>
    </w:p>
    <w:p w:rsidR="00102C4C" w:rsidRPr="00F42B1C" w:rsidRDefault="00102C4C" w:rsidP="00102C4C">
      <w:pPr>
        <w:ind w:left="2127"/>
        <w:rPr>
          <w:rFonts w:eastAsiaTheme="minorEastAsia"/>
        </w:rPr>
      </w:pPr>
      <w:r w:rsidRPr="00F42B1C">
        <w:rPr>
          <w:rFonts w:eastAsiaTheme="minorEastAsia"/>
          <w:u w:val="single"/>
        </w:rPr>
        <w:t>Fehlerbetrachtung:</w:t>
      </w:r>
      <w:r>
        <w:rPr>
          <w:rFonts w:eastAsiaTheme="minorEastAsia"/>
        </w:rPr>
        <w:t xml:space="preserve"> Es werden der absolute und relative Fehler berec</w:t>
      </w:r>
      <w:r>
        <w:rPr>
          <w:rFonts w:eastAsiaTheme="minorEastAsia"/>
        </w:rPr>
        <w:t>h</w:t>
      </w:r>
      <w:r>
        <w:rPr>
          <w:rFonts w:eastAsiaTheme="minorEastAsia"/>
        </w:rPr>
        <w:t>net.</w:t>
      </w:r>
    </w:p>
    <w:p w:rsidR="00102C4C" w:rsidRDefault="00102C4C" w:rsidP="00102C4C">
      <w:pPr>
        <w:ind w:left="2127"/>
        <w:rPr>
          <w:rFonts w:eastAsiaTheme="minorEastAsia"/>
        </w:rPr>
      </w:pPr>
      <w:r w:rsidRPr="00F42B1C">
        <w:rPr>
          <w:rFonts w:eastAsiaTheme="minorEastAsia"/>
        </w:rPr>
        <w:t>Literaturwert:</w:t>
      </w:r>
      <w:r>
        <w:rPr>
          <w:rFonts w:eastAsiaTheme="minorEastAsia"/>
        </w:rPr>
        <w:t xml:space="preserve"> max. 700 mg/L</w:t>
      </w:r>
    </w:p>
    <w:p w:rsidR="00102C4C" w:rsidRPr="00CC42C7" w:rsidRDefault="00D837BB" w:rsidP="00102C4C">
      <w:pPr>
        <w:ind w:left="2127"/>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 xml:space="preserve">Messwert </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Literatur</m:t>
                  </m:r>
                </m:sub>
              </m:sSub>
            </m:e>
          </m:d>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461- 700 </m:t>
              </m:r>
            </m:e>
          </m:d>
          <m:r>
            <w:rPr>
              <w:rFonts w:ascii="Cambria Math" w:eastAsiaTheme="minorEastAsia" w:hAnsi="Cambria Math"/>
            </w:rPr>
            <m:t xml:space="preserve">=239 </m:t>
          </m:r>
          <m:f>
            <m:fPr>
              <m:ctrlPr>
                <w:rPr>
                  <w:rFonts w:ascii="Cambria Math" w:eastAsiaTheme="minorEastAsia" w:hAnsi="Cambria Math"/>
                </w:rPr>
              </m:ctrlPr>
            </m:fPr>
            <m:num>
              <m:r>
                <m:rPr>
                  <m:sty m:val="p"/>
                </m:rPr>
                <w:rPr>
                  <w:rFonts w:ascii="Cambria Math" w:eastAsiaTheme="minorEastAsia" w:hAnsi="Cambria Math"/>
                </w:rPr>
                <m:t>mg</m:t>
              </m:r>
            </m:num>
            <m:den>
              <m:r>
                <m:rPr>
                  <m:sty m:val="p"/>
                </m:rPr>
                <w:rPr>
                  <w:rFonts w:ascii="Cambria Math" w:eastAsiaTheme="minorEastAsia" w:hAnsi="Cambria Math"/>
                </w:rPr>
                <m:t>L</m:t>
              </m:r>
            </m:den>
          </m:f>
        </m:oMath>
      </m:oMathPara>
    </w:p>
    <w:p w:rsidR="00102C4C" w:rsidRPr="00CC42C7" w:rsidRDefault="00D837BB" w:rsidP="00102C4C">
      <w:pPr>
        <w:ind w:left="2127"/>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rel</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num>
            <m:den>
              <m:sSub>
                <m:sSubPr>
                  <m:ctrlPr>
                    <w:rPr>
                      <w:rFonts w:ascii="Cambria Math" w:hAnsi="Cambria Math"/>
                      <w:i/>
                    </w:rPr>
                  </m:ctrlPr>
                </m:sSubPr>
                <m:e>
                  <m:r>
                    <w:rPr>
                      <w:rFonts w:ascii="Cambria Math" w:hAnsi="Cambria Math"/>
                    </w:rPr>
                    <m:t>x</m:t>
                  </m:r>
                </m:e>
                <m:sub>
                  <m:r>
                    <w:rPr>
                      <w:rFonts w:ascii="Cambria Math" w:hAnsi="Cambria Math"/>
                    </w:rPr>
                    <m:t>Literatur</m:t>
                  </m:r>
                </m:sub>
              </m:sSub>
            </m:den>
          </m:f>
          <m:r>
            <w:rPr>
              <w:rFonts w:ascii="Cambria Math" w:hAnsi="Cambria Math"/>
            </w:rPr>
            <m:t xml:space="preserve"> ∙100= </m:t>
          </m:r>
          <m:f>
            <m:fPr>
              <m:ctrlPr>
                <w:rPr>
                  <w:rFonts w:ascii="Cambria Math" w:hAnsi="Cambria Math"/>
                  <w:i/>
                </w:rPr>
              </m:ctrlPr>
            </m:fPr>
            <m:num>
              <m:r>
                <w:rPr>
                  <w:rFonts w:ascii="Cambria Math" w:hAnsi="Cambria Math"/>
                </w:rPr>
                <m:t>239</m:t>
              </m:r>
            </m:num>
            <m:den>
              <m:r>
                <w:rPr>
                  <w:rFonts w:ascii="Cambria Math" w:hAnsi="Cambria Math"/>
                </w:rPr>
                <m:t>700</m:t>
              </m:r>
            </m:den>
          </m:f>
          <m:r>
            <w:rPr>
              <w:rFonts w:ascii="Cambria Math" w:hAnsi="Cambria Math"/>
            </w:rPr>
            <m:t xml:space="preserve"> ∙100=34,14 %</m:t>
          </m:r>
        </m:oMath>
      </m:oMathPara>
    </w:p>
    <w:p w:rsidR="00E267AE" w:rsidRDefault="00E267AE" w:rsidP="001827B5">
      <w:pPr>
        <w:ind w:left="2127"/>
      </w:pPr>
      <w:r>
        <w:lastRenderedPageBreak/>
        <w:t>Für die zweite Protolyse-Stufe wird dies ebenfalls berechnet:</w:t>
      </w:r>
    </w:p>
    <w:p w:rsidR="00323743" w:rsidRDefault="00C906FB" w:rsidP="001827B5">
      <w:pPr>
        <w:ind w:left="2127"/>
      </w:pPr>
      <w:r>
        <w:t xml:space="preserve">Dazu wird zuerst die Volumendifferenz zwischen den beiden </w:t>
      </w:r>
      <w:proofErr w:type="spellStart"/>
      <w:r>
        <w:t>ÄP´s</w:t>
      </w:r>
      <w:proofErr w:type="spellEnd"/>
      <w:r>
        <w:t xml:space="preserve"> ermi</w:t>
      </w:r>
      <w:r>
        <w:t>t</w:t>
      </w:r>
      <w:r>
        <w:t>telt, da nur dort die Dissoziation von Dihydrogenphosphat zu Hydroge</w:t>
      </w:r>
      <w:r>
        <w:t>n</w:t>
      </w:r>
      <w:r>
        <w:t xml:space="preserve">phosphat stattfindet und die zuvor zugegebene </w:t>
      </w:r>
      <w:proofErr w:type="spellStart"/>
      <w:r>
        <w:t>NaOH</w:t>
      </w:r>
      <w:proofErr w:type="spellEnd"/>
      <w:r>
        <w:t xml:space="preserve">-Lösung bereits neutralisiert wurde. Die graphisch ermittelten Volumina der </w:t>
      </w:r>
      <w:proofErr w:type="spellStart"/>
      <w:r>
        <w:t>ÄP´s</w:t>
      </w:r>
      <w:proofErr w:type="spellEnd"/>
      <w:r>
        <w:t xml:space="preserve"> werden aus der Titrationskurve entnommen. Die Differenz ergibt sich folgende</w:t>
      </w:r>
      <w:r>
        <w:t>r</w:t>
      </w:r>
      <w:r>
        <w:t>maßen:</w:t>
      </w:r>
    </w:p>
    <w:p w:rsidR="00C906FB" w:rsidRPr="00C906FB" w:rsidRDefault="00D837BB" w:rsidP="001827B5">
      <w:pPr>
        <w:ind w:left="2127"/>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ÄP2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ÄP1</m:t>
              </m:r>
            </m:sub>
          </m:sSub>
          <m:r>
            <w:rPr>
              <w:rFonts w:ascii="Cambria Math" w:hAnsi="Cambria Math"/>
            </w:rPr>
            <m:t>= ∆V</m:t>
          </m:r>
        </m:oMath>
      </m:oMathPara>
    </w:p>
    <w:p w:rsidR="00C906FB" w:rsidRDefault="00C906FB" w:rsidP="001827B5">
      <w:pPr>
        <w:ind w:left="2127"/>
      </w:pPr>
      <m:oMathPara>
        <m:oMath>
          <m:r>
            <w:rPr>
              <w:rFonts w:ascii="Cambria Math" w:eastAsiaTheme="minorEastAsia" w:hAnsi="Cambria Math"/>
            </w:rPr>
            <m:t xml:space="preserve">10,2 </m:t>
          </m:r>
          <m:r>
            <m:rPr>
              <m:sty m:val="p"/>
            </m:rPr>
            <w:rPr>
              <w:rFonts w:ascii="Cambria Math" w:eastAsiaTheme="minorEastAsia" w:hAnsi="Cambria Math"/>
            </w:rPr>
            <m:t>mL-4,7 mL=5,5 mL</m:t>
          </m:r>
        </m:oMath>
      </m:oMathPara>
    </w:p>
    <w:p w:rsidR="00795F37" w:rsidRDefault="00795F37" w:rsidP="001827B5">
      <w:pPr>
        <w:ind w:left="2127"/>
      </w:pPr>
      <w:r>
        <w:t xml:space="preserve">Im nächsten Schritt wird die Stoffmenge des </w:t>
      </w:r>
      <w:proofErr w:type="spellStart"/>
      <w:r>
        <w:t>NaOH</w:t>
      </w:r>
      <w:proofErr w:type="spellEnd"/>
      <w:r>
        <w:t xml:space="preserve"> in den 5,5 mL berec</w:t>
      </w:r>
      <w:r>
        <w:t>h</w:t>
      </w:r>
      <w:r>
        <w:t>net. Dazu wird die Formel der Stoffmengenkonzentration nach der Stof</w:t>
      </w:r>
      <w:r>
        <w:t>f</w:t>
      </w:r>
      <w:r>
        <w:t>menge umgestell</w:t>
      </w:r>
      <w:r w:rsidR="00CF25D0">
        <w:t>t und die Werte werden eingesetzt.</w:t>
      </w:r>
    </w:p>
    <w:p w:rsidR="00795F37" w:rsidRDefault="00795F37" w:rsidP="001827B5">
      <w:pPr>
        <w:ind w:left="2127"/>
        <w:rPr>
          <w:rFonts w:eastAsiaTheme="minorEastAsia"/>
        </w:rPr>
      </w:pPr>
      <m:oMathPara>
        <m:oMath>
          <m:r>
            <w:rPr>
              <w:rFonts w:ascii="Cambria Math" w:hAnsi="Cambria Math"/>
            </w:rPr>
            <m:t>c=</m:t>
          </m:r>
          <m:f>
            <m:fPr>
              <m:ctrlPr>
                <w:rPr>
                  <w:rFonts w:ascii="Cambria Math" w:hAnsi="Cambria Math"/>
                  <w:i/>
                </w:rPr>
              </m:ctrlPr>
            </m:fPr>
            <m:num>
              <m:r>
                <w:rPr>
                  <w:rFonts w:ascii="Cambria Math" w:hAnsi="Cambria Math"/>
                </w:rPr>
                <m:t>n</m:t>
              </m:r>
            </m:num>
            <m:den>
              <m:r>
                <w:rPr>
                  <w:rFonts w:ascii="Cambria Math" w:hAnsi="Cambria Math"/>
                </w:rPr>
                <m:t>V</m:t>
              </m:r>
            </m:den>
          </m:f>
          <m:r>
            <w:rPr>
              <w:rFonts w:ascii="Cambria Math" w:hAnsi="Cambria Math"/>
            </w:rPr>
            <m:t xml:space="preserve">  ↔n=c∙V</m:t>
          </m:r>
        </m:oMath>
      </m:oMathPara>
    </w:p>
    <w:p w:rsidR="00CF25D0" w:rsidRDefault="00CF25D0" w:rsidP="001827B5">
      <w:pPr>
        <w:ind w:left="2127"/>
      </w:pPr>
      <m:oMathPara>
        <m:oMath>
          <m:r>
            <w:rPr>
              <w:rFonts w:ascii="Cambria Math" w:hAnsi="Cambria Math"/>
            </w:rPr>
            <m:t xml:space="preserve">n=0,1 </m:t>
          </m:r>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w:rPr>
              <w:rFonts w:ascii="Cambria Math" w:hAnsi="Cambria Math"/>
            </w:rPr>
            <m:t xml:space="preserve">∙0,0055 </m:t>
          </m:r>
          <m:r>
            <m:rPr>
              <m:sty m:val="p"/>
            </m:rPr>
            <w:rPr>
              <w:rFonts w:ascii="Cambria Math" w:hAnsi="Cambria Math"/>
            </w:rPr>
            <m:t>L=5,5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mol</m:t>
          </m:r>
        </m:oMath>
      </m:oMathPara>
    </w:p>
    <w:p w:rsidR="00E670D3" w:rsidRDefault="00CF25D0" w:rsidP="00E670D3">
      <w:pPr>
        <w:ind w:left="2126"/>
        <w:contextualSpacing/>
        <w:rPr>
          <w:rFonts w:eastAsiaTheme="minorEastAsia"/>
        </w:rPr>
      </w:pPr>
      <w:r>
        <w:t>Somit ist die Stoffmenge des Hydrogenphosphates ebenfalls</w:t>
      </w:r>
      <w:r w:rsidR="00940DBD">
        <w:t xml:space="preserve"> </w:t>
      </w:r>
    </w:p>
    <w:p w:rsidR="00CF25D0" w:rsidRDefault="00CF25D0" w:rsidP="00E670D3">
      <w:pPr>
        <w:ind w:left="2126"/>
        <w:contextualSpacing/>
        <w:rPr>
          <w:rFonts w:eastAsiaTheme="minorEastAsia"/>
        </w:rPr>
      </w:pPr>
      <m:oMath>
        <m:r>
          <m:rPr>
            <m:sty m:val="p"/>
          </m:rPr>
          <w:rPr>
            <w:rFonts w:ascii="Cambria Math" w:hAnsi="Cambria Math"/>
          </w:rPr>
          <m:t>5,5∙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mol</m:t>
        </m:r>
      </m:oMath>
      <w:r>
        <w:rPr>
          <w:rFonts w:eastAsiaTheme="minorEastAsia"/>
        </w:rPr>
        <w:t>, da der ÄP betrachtetet wird und dort äquimolare Stof</w:t>
      </w:r>
      <w:r>
        <w:rPr>
          <w:rFonts w:eastAsiaTheme="minorEastAsia"/>
        </w:rPr>
        <w:t>f</w:t>
      </w:r>
      <w:r>
        <w:rPr>
          <w:rFonts w:eastAsiaTheme="minorEastAsia"/>
        </w:rPr>
        <w:t>mengen der Säure und der Base vorliegen.</w:t>
      </w:r>
    </w:p>
    <w:p w:rsidR="00CF25D0" w:rsidRDefault="00CF25D0" w:rsidP="001827B5">
      <w:pPr>
        <w:ind w:left="2127"/>
        <w:contextualSpacing/>
        <w:rPr>
          <w:rFonts w:eastAsiaTheme="minorEastAsia"/>
        </w:rPr>
      </w:pPr>
      <w:r>
        <w:rPr>
          <w:rFonts w:eastAsiaTheme="minorEastAsia"/>
        </w:rPr>
        <w:t>Nun muss die Verdünnung noch berücksichtigt werden. Daher wird für die Berechnung der Konzentration das Gesamtvolumen berücksichtigt. Das Gesamtvolumen beträgt 0,1102 L.</w:t>
      </w:r>
    </w:p>
    <w:p w:rsidR="00E670D3" w:rsidRDefault="00E670D3" w:rsidP="001827B5">
      <w:pPr>
        <w:ind w:left="2127"/>
        <w:contextualSpacing/>
        <w:rPr>
          <w:rFonts w:eastAsiaTheme="minorEastAsia"/>
        </w:rPr>
      </w:pPr>
    </w:p>
    <w:p w:rsidR="00CF25D0" w:rsidRDefault="00CF25D0" w:rsidP="001827B5">
      <w:pPr>
        <w:ind w:left="2127"/>
      </w:pPr>
      <m:oMathPara>
        <m:oMath>
          <m:r>
            <w:rPr>
              <w:rFonts w:ascii="Cambria Math" w:hAnsi="Cambria Math"/>
            </w:rPr>
            <m:t>c=</m:t>
          </m:r>
          <m:f>
            <m:fPr>
              <m:ctrlPr>
                <w:rPr>
                  <w:rFonts w:ascii="Cambria Math" w:hAnsi="Cambria Math"/>
                  <w:i/>
                </w:rPr>
              </m:ctrlPr>
            </m:fPr>
            <m:num>
              <m:r>
                <m:rPr>
                  <m:sty m:val="p"/>
                </m:rPr>
                <w:rPr>
                  <w:rFonts w:ascii="Cambria Math" w:hAnsi="Cambria Math"/>
                </w:rPr>
                <m:t>5,5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mol</m:t>
              </m:r>
            </m:num>
            <m:den>
              <m:r>
                <w:rPr>
                  <w:rFonts w:ascii="Cambria Math" w:hAnsi="Cambria Math"/>
                </w:rPr>
                <m:t xml:space="preserve">0,1102 </m:t>
              </m:r>
              <m:r>
                <m:rPr>
                  <m:sty m:val="p"/>
                </m:rPr>
                <w:rPr>
                  <w:rFonts w:ascii="Cambria Math" w:hAnsi="Cambria Math"/>
                </w:rPr>
                <m:t>L</m:t>
              </m:r>
            </m:den>
          </m:f>
          <m:r>
            <w:rPr>
              <w:rFonts w:ascii="Cambria Math" w:hAnsi="Cambria Math"/>
            </w:rPr>
            <m:t xml:space="preserve">=4,99 ∙ </m:t>
          </m:r>
          <m:sSup>
            <m:sSupPr>
              <m:ctrlPr>
                <w:rPr>
                  <w:rFonts w:ascii="Cambria Math" w:hAnsi="Cambria Math"/>
                  <w:i/>
                </w:rPr>
              </m:ctrlPr>
            </m:sSupPr>
            <m:e>
              <m:r>
                <w:rPr>
                  <w:rFonts w:ascii="Cambria Math" w:hAnsi="Cambria Math"/>
                </w:rPr>
                <m:t>10</m:t>
              </m:r>
            </m:e>
            <m:sup>
              <m:r>
                <w:rPr>
                  <w:rFonts w:ascii="Cambria Math" w:hAnsi="Cambria Math"/>
                </w:rPr>
                <m:t>-4</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m:oMathPara>
    </w:p>
    <w:p w:rsidR="00940DBD" w:rsidRDefault="00940DBD" w:rsidP="001827B5">
      <w:pPr>
        <w:ind w:left="2127"/>
        <w:rPr>
          <w:rFonts w:eastAsiaTheme="minorEastAsia"/>
        </w:rPr>
      </w:pPr>
      <w:r>
        <w:t xml:space="preserve">Somit liegt eine Dihydrogenphosphat-Konzentration von </w:t>
      </w:r>
      <m:oMath>
        <m:r>
          <w:rPr>
            <w:rFonts w:ascii="Cambria Math" w:hAnsi="Cambria Math"/>
          </w:rPr>
          <m:t xml:space="preserve">4,99 ∙ </m:t>
        </m:r>
        <m:sSup>
          <m:sSupPr>
            <m:ctrlPr>
              <w:rPr>
                <w:rFonts w:ascii="Cambria Math" w:hAnsi="Cambria Math"/>
                <w:i/>
              </w:rPr>
            </m:ctrlPr>
          </m:sSupPr>
          <m:e>
            <m:r>
              <w:rPr>
                <w:rFonts w:ascii="Cambria Math" w:hAnsi="Cambria Math"/>
              </w:rPr>
              <m:t>10</m:t>
            </m:r>
          </m:e>
          <m:sup>
            <m:r>
              <w:rPr>
                <w:rFonts w:ascii="Cambria Math" w:hAnsi="Cambria Math"/>
              </w:rPr>
              <m:t>-4</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oMath>
      <w:r>
        <w:rPr>
          <w:rFonts w:eastAsiaTheme="minorEastAsia"/>
        </w:rPr>
        <w:t xml:space="preserve"> vor. </w:t>
      </w:r>
    </w:p>
    <w:p w:rsidR="00940DBD" w:rsidRDefault="00940DBD" w:rsidP="001827B5">
      <w:pPr>
        <w:ind w:left="2127"/>
      </w:pPr>
      <w:r>
        <w:rPr>
          <w:rFonts w:eastAsiaTheme="minorEastAsia"/>
        </w:rPr>
        <w:t>Nach diesem Prinzip wird kann auch die Konzentration des Phosphats am dritten ÄP berechnet werden.</w:t>
      </w:r>
    </w:p>
    <w:p w:rsidR="001827B5" w:rsidRDefault="001827B5" w:rsidP="001827B5">
      <w:pPr>
        <w:ind w:left="2127"/>
      </w:pPr>
      <w:r>
        <w:t xml:space="preserve">Ebenfalls ist </w:t>
      </w:r>
      <w:r w:rsidR="003C6AFD">
        <w:t xml:space="preserve">in </w:t>
      </w:r>
      <w:r>
        <w:t xml:space="preserve">der Auftragung die Lage der Halbäquivalenzpunkte zu entnehmen. </w:t>
      </w:r>
      <w:r w:rsidR="00CC42C7">
        <w:t xml:space="preserve">Für die Halbäquivalenzpunkte( HÄP) gilt, dass dort der pH-Wert dem </w:t>
      </w:r>
      <w:proofErr w:type="spellStart"/>
      <w:r w:rsidR="00CC42C7">
        <w:t>pK</w:t>
      </w:r>
      <w:r w:rsidR="00CC42C7" w:rsidRPr="00CC42C7">
        <w:rPr>
          <w:vertAlign w:val="subscript"/>
        </w:rPr>
        <w:t>s</w:t>
      </w:r>
      <w:proofErr w:type="spellEnd"/>
      <w:r w:rsidR="00CC42C7">
        <w:t xml:space="preserve">-Wert entspricht. Der erste HÄP liegt bei einem pH-Wert </w:t>
      </w:r>
      <w:r w:rsidR="00CC42C7">
        <w:lastRenderedPageBreak/>
        <w:t>von 2,4 und der zweite HÄP bei 7,</w:t>
      </w:r>
      <w:r w:rsidR="00D41F83">
        <w:t>2</w:t>
      </w:r>
      <w:r w:rsidR="00CC42C7">
        <w:t>. Nun kann eine Fehlerbetrachtung mit den Literaturwerten vorgenommen werden.</w:t>
      </w:r>
    </w:p>
    <w:p w:rsidR="00CC42C7" w:rsidRPr="00282F85" w:rsidRDefault="00CC42C7" w:rsidP="001827B5">
      <w:pPr>
        <w:ind w:left="2127"/>
        <w:rPr>
          <w:vertAlign w:val="superscript"/>
        </w:rPr>
      </w:pPr>
      <w:r>
        <w:t>pK</w:t>
      </w:r>
      <w:r>
        <w:rPr>
          <w:vertAlign w:val="subscript"/>
        </w:rPr>
        <w:t>s1, Literatur</w:t>
      </w:r>
      <w:r>
        <w:t>= 2,1</w:t>
      </w:r>
      <w:r w:rsidR="00282F85">
        <w:rPr>
          <w:vertAlign w:val="superscript"/>
        </w:rPr>
        <w:t>[3]</w:t>
      </w:r>
    </w:p>
    <w:p w:rsidR="00CC42C7" w:rsidRPr="00282F85" w:rsidRDefault="00CC42C7" w:rsidP="00CC42C7">
      <w:pPr>
        <w:ind w:left="2127"/>
        <w:rPr>
          <w:vertAlign w:val="superscript"/>
        </w:rPr>
      </w:pPr>
      <w:r>
        <w:t>pK</w:t>
      </w:r>
      <w:r>
        <w:rPr>
          <w:vertAlign w:val="subscript"/>
        </w:rPr>
        <w:t>s2, Literatur</w:t>
      </w:r>
      <w:r>
        <w:t>= 7,1</w:t>
      </w:r>
      <w:r w:rsidR="00282F85">
        <w:rPr>
          <w:vertAlign w:val="superscript"/>
        </w:rPr>
        <w:t>[3]</w:t>
      </w:r>
    </w:p>
    <w:p w:rsidR="00A070D9" w:rsidRDefault="00A070D9" w:rsidP="00CC42C7">
      <w:pPr>
        <w:ind w:left="2127"/>
      </w:pPr>
      <w:r>
        <w:t>Beispielhaft wird dies für den ersten HÄP berechnet bei dem zweiten werden nur die Ergebnisse genannt.</w:t>
      </w:r>
    </w:p>
    <w:p w:rsidR="003C6AFD" w:rsidRPr="003C6AFD" w:rsidRDefault="003C6AFD" w:rsidP="001827B5">
      <w:pPr>
        <w:ind w:left="2127"/>
        <w:rPr>
          <w:rFonts w:eastAsiaTheme="minorEastAsia"/>
        </w:rPr>
      </w:pPr>
      <w:r>
        <w:rPr>
          <w:rFonts w:eastAsiaTheme="minorEastAsia"/>
        </w:rPr>
        <w:t xml:space="preserve">Für </w:t>
      </w:r>
      <w:r>
        <w:t>pK</w:t>
      </w:r>
      <w:r>
        <w:rPr>
          <w:vertAlign w:val="subscript"/>
        </w:rPr>
        <w:t>s1</w:t>
      </w:r>
      <w:r>
        <w:t>-Wert:</w:t>
      </w:r>
    </w:p>
    <w:p w:rsidR="00CC42C7" w:rsidRPr="00AA6C94" w:rsidRDefault="00D837BB" w:rsidP="001827B5">
      <w:pPr>
        <w:ind w:left="2127"/>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 xml:space="preserve">Messwert </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Literatur</m:t>
                  </m:r>
                </m:sub>
              </m:sSub>
            </m:e>
          </m:d>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2,4- 2,1 </m:t>
              </m:r>
            </m:e>
          </m:d>
          <m:r>
            <w:rPr>
              <w:rFonts w:ascii="Cambria Math" w:eastAsiaTheme="minorEastAsia" w:hAnsi="Cambria Math"/>
            </w:rPr>
            <m:t>=0,3</m:t>
          </m:r>
        </m:oMath>
      </m:oMathPara>
    </w:p>
    <w:p w:rsidR="00CC42C7" w:rsidRPr="00AA6C94" w:rsidRDefault="00D837BB" w:rsidP="001827B5">
      <w:pPr>
        <w:ind w:left="2127"/>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rel</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num>
            <m:den>
              <m:sSub>
                <m:sSubPr>
                  <m:ctrlPr>
                    <w:rPr>
                      <w:rFonts w:ascii="Cambria Math" w:hAnsi="Cambria Math"/>
                      <w:i/>
                    </w:rPr>
                  </m:ctrlPr>
                </m:sSubPr>
                <m:e>
                  <m:r>
                    <w:rPr>
                      <w:rFonts w:ascii="Cambria Math" w:hAnsi="Cambria Math"/>
                    </w:rPr>
                    <m:t>x</m:t>
                  </m:r>
                </m:e>
                <m:sub>
                  <m:r>
                    <w:rPr>
                      <w:rFonts w:ascii="Cambria Math" w:hAnsi="Cambria Math"/>
                    </w:rPr>
                    <m:t>Literatur</m:t>
                  </m:r>
                </m:sub>
              </m:sSub>
            </m:den>
          </m:f>
          <m:r>
            <w:rPr>
              <w:rFonts w:ascii="Cambria Math" w:hAnsi="Cambria Math"/>
            </w:rPr>
            <m:t xml:space="preserve"> ∙100= </m:t>
          </m:r>
          <m:f>
            <m:fPr>
              <m:ctrlPr>
                <w:rPr>
                  <w:rFonts w:ascii="Cambria Math" w:hAnsi="Cambria Math"/>
                  <w:i/>
                </w:rPr>
              </m:ctrlPr>
            </m:fPr>
            <m:num>
              <m:r>
                <w:rPr>
                  <w:rFonts w:ascii="Cambria Math" w:hAnsi="Cambria Math"/>
                </w:rPr>
                <m:t>0,3</m:t>
              </m:r>
            </m:num>
            <m:den>
              <m:r>
                <w:rPr>
                  <w:rFonts w:ascii="Cambria Math" w:hAnsi="Cambria Math"/>
                </w:rPr>
                <m:t>2,1</m:t>
              </m:r>
            </m:den>
          </m:f>
          <m:r>
            <w:rPr>
              <w:rFonts w:ascii="Cambria Math" w:hAnsi="Cambria Math"/>
            </w:rPr>
            <m:t xml:space="preserve"> ∙100=14,29 %</m:t>
          </m:r>
        </m:oMath>
      </m:oMathPara>
    </w:p>
    <w:p w:rsidR="003C6AFD" w:rsidRPr="003C6AFD" w:rsidRDefault="003C6AFD" w:rsidP="001827B5">
      <w:pPr>
        <w:ind w:left="2127"/>
        <w:rPr>
          <w:rFonts w:eastAsiaTheme="minorEastAsia"/>
        </w:rPr>
      </w:pPr>
      <w:r>
        <w:t>Für pK</w:t>
      </w:r>
      <w:r>
        <w:rPr>
          <w:vertAlign w:val="subscript"/>
        </w:rPr>
        <w:t>s2</w:t>
      </w:r>
      <w:r>
        <w:t>-Wert:</w:t>
      </w:r>
    </w:p>
    <w:p w:rsidR="00CC42C7" w:rsidRPr="00AA6C94" w:rsidRDefault="00D837BB" w:rsidP="001827B5">
      <w:pPr>
        <w:ind w:left="2127"/>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r>
            <w:rPr>
              <w:rFonts w:ascii="Cambria Math" w:hAnsi="Cambria Math"/>
            </w:rPr>
            <m:t>=0,1</m:t>
          </m:r>
        </m:oMath>
      </m:oMathPara>
    </w:p>
    <w:p w:rsidR="00D41F83" w:rsidRPr="00AA6C94" w:rsidRDefault="00D837BB" w:rsidP="00D41F83">
      <w:pPr>
        <w:ind w:left="2127"/>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rel</m:t>
              </m:r>
            </m:sub>
          </m:sSub>
          <m:r>
            <w:rPr>
              <w:rFonts w:ascii="Cambria Math" w:hAnsi="Cambria Math"/>
            </w:rPr>
            <m:t>=1,41 %</m:t>
          </m:r>
        </m:oMath>
      </m:oMathPara>
    </w:p>
    <w:p w:rsidR="00D41F83" w:rsidRPr="00CC42C7" w:rsidRDefault="00D41F83" w:rsidP="00D41F83">
      <w:pPr>
        <w:ind w:left="2127"/>
      </w:pPr>
      <w:r>
        <w:rPr>
          <w:rFonts w:eastAsiaTheme="minorEastAsia"/>
        </w:rPr>
        <w:t>Anhand der Fehlerwerte zeigt sich, dass diese nur sehr gering von den L</w:t>
      </w:r>
      <w:r>
        <w:rPr>
          <w:rFonts w:eastAsiaTheme="minorEastAsia"/>
        </w:rPr>
        <w:t>i</w:t>
      </w:r>
      <w:r>
        <w:rPr>
          <w:rFonts w:eastAsiaTheme="minorEastAsia"/>
        </w:rPr>
        <w:t>teraturwerten abweichen. Somit ist dies eine geeignete Methode um die Halbäquivalenzpunkte zu bestimmen.</w:t>
      </w:r>
    </w:p>
    <w:p w:rsidR="001045D1" w:rsidRPr="0056694B" w:rsidRDefault="001045D1" w:rsidP="001045D1">
      <w:pPr>
        <w:spacing w:line="276" w:lineRule="auto"/>
        <w:rPr>
          <w:rFonts w:eastAsiaTheme="minorEastAsia"/>
          <w:noProof/>
        </w:rPr>
      </w:pPr>
      <w:r>
        <w:t>Entsorgung:</w:t>
      </w:r>
      <w:r>
        <w:tab/>
        <w:t xml:space="preserve">           </w:t>
      </w:r>
      <w:r>
        <w:tab/>
      </w:r>
      <w:r w:rsidR="00C43286">
        <w:t>Die Lösungen können über das Abwasser entsorgt werden.</w:t>
      </w:r>
    </w:p>
    <w:p w:rsidR="001045D1" w:rsidRPr="005B60E3" w:rsidRDefault="001045D1" w:rsidP="00282F85">
      <w:pPr>
        <w:spacing w:line="276" w:lineRule="auto"/>
        <w:rPr>
          <w:rFonts w:asciiTheme="majorHAnsi" w:eastAsiaTheme="majorEastAsia" w:hAnsiTheme="majorHAnsi" w:cstheme="majorBidi"/>
          <w:b/>
          <w:bCs/>
          <w:sz w:val="28"/>
          <w:szCs w:val="28"/>
        </w:rPr>
      </w:pPr>
      <w:r>
        <w:t>Literatur:</w:t>
      </w:r>
      <w:r>
        <w:tab/>
      </w:r>
      <w:r>
        <w:tab/>
      </w:r>
      <w:r w:rsidR="00282F85">
        <w:rPr>
          <w:color w:val="auto"/>
        </w:rPr>
        <w:t xml:space="preserve">[3] </w:t>
      </w:r>
      <w:r w:rsidR="00282F85" w:rsidRPr="00282F85">
        <w:rPr>
          <w:color w:val="auto"/>
        </w:rPr>
        <w:t>http://www.ld-didactic.de/documents/en-</w:t>
      </w:r>
      <w:r w:rsidR="00282F85">
        <w:rPr>
          <w:color w:val="auto"/>
        </w:rPr>
        <w:tab/>
      </w:r>
      <w:r w:rsidR="00282F85">
        <w:rPr>
          <w:color w:val="auto"/>
        </w:rPr>
        <w:tab/>
      </w:r>
      <w:r w:rsidR="00282F85">
        <w:rPr>
          <w:color w:val="auto"/>
        </w:rPr>
        <w:tab/>
      </w:r>
      <w:r w:rsidR="00282F85">
        <w:rPr>
          <w:color w:val="auto"/>
        </w:rPr>
        <w:tab/>
      </w:r>
      <w:r w:rsidR="00282F85">
        <w:rPr>
          <w:color w:val="auto"/>
        </w:rPr>
        <w:tab/>
      </w:r>
      <w:r w:rsidR="00282F85">
        <w:rPr>
          <w:color w:val="auto"/>
        </w:rPr>
        <w:tab/>
      </w:r>
      <w:r w:rsidR="00282F85" w:rsidRPr="00282F85">
        <w:rPr>
          <w:color w:val="auto"/>
        </w:rPr>
        <w:t>US/EXP/C/C1/C1722_d.pdf</w:t>
      </w:r>
      <w:r w:rsidR="00282F85">
        <w:rPr>
          <w:color w:val="auto"/>
        </w:rPr>
        <w:t xml:space="preserve">, 31.07.16 (Zuletzt abgerufen am 31.07.16 um </w:t>
      </w:r>
      <w:r w:rsidR="00282F85">
        <w:rPr>
          <w:color w:val="auto"/>
        </w:rPr>
        <w:tab/>
      </w:r>
      <w:r w:rsidR="00282F85">
        <w:rPr>
          <w:color w:val="auto"/>
        </w:rPr>
        <w:tab/>
      </w:r>
      <w:r w:rsidR="00282F85">
        <w:rPr>
          <w:color w:val="auto"/>
        </w:rPr>
        <w:tab/>
        <w:t>15:07 Uhr).</w:t>
      </w:r>
    </w:p>
    <w:p w:rsidR="001045D1" w:rsidRDefault="001045D1" w:rsidP="001045D1">
      <w:pPr>
        <w:tabs>
          <w:tab w:val="left" w:pos="1701"/>
          <w:tab w:val="left" w:pos="1985"/>
        </w:tabs>
        <w:ind w:left="1980" w:hanging="1980"/>
      </w:pPr>
    </w:p>
    <w:p w:rsidR="001045D1" w:rsidRDefault="00D837BB" w:rsidP="001045D1">
      <w:pPr>
        <w:tabs>
          <w:tab w:val="left" w:pos="1701"/>
          <w:tab w:val="left" w:pos="1985"/>
        </w:tabs>
        <w:ind w:left="1980" w:hanging="1980"/>
      </w:pPr>
      <w:r>
        <w:pict>
          <v:shape id="_x0000_s1166" type="#_x0000_t202" style="width:462.45pt;height:251.9pt;mso-position-horizontal-relative:char;mso-position-vertical-relative:line;mso-width-relative:margin;mso-height-relative:margin" fillcolor="white [3201]" strokecolor="#c0504d [3205]" strokeweight="1pt">
            <v:stroke dashstyle="dash"/>
            <v:shadow color="#868686"/>
            <v:textbox style="mso-next-textbox:#_x0000_s1166">
              <w:txbxContent>
                <w:p w:rsidR="00777888" w:rsidRPr="00F31EBF" w:rsidRDefault="00777888" w:rsidP="001045D1">
                  <w:pPr>
                    <w:rPr>
                      <w:color w:val="auto"/>
                    </w:rPr>
                  </w:pPr>
                  <w:r w:rsidRPr="00F31EBF">
                    <w:rPr>
                      <w:b/>
                      <w:color w:val="auto"/>
                    </w:rPr>
                    <w:t xml:space="preserve">Unterrichtsanschlüsse </w:t>
                  </w:r>
                  <w:r>
                    <w:rPr>
                      <w:color w:val="auto"/>
                    </w:rPr>
                    <w:t>Durch diesen Versuch ist es möglich, dass die Schülerinnen und Sch</w:t>
                  </w:r>
                  <w:r>
                    <w:rPr>
                      <w:color w:val="auto"/>
                    </w:rPr>
                    <w:t>ü</w:t>
                  </w:r>
                  <w:r>
                    <w:rPr>
                      <w:color w:val="auto"/>
                    </w:rPr>
                    <w:t>ler die Titration selber durchführen und ihr in den Stunden vorher erlangtes Wissen, über den Äquivalenzpunkt, den Halbäquivalenzpunkt und das Anfertigen einer Titrationskurve, wie das Wissen über mehrprotonige Säuren, anzuwenden. Des Weiteren werden hier auch die Grun</w:t>
                  </w:r>
                  <w:r>
                    <w:rPr>
                      <w:color w:val="auto"/>
                    </w:rPr>
                    <w:t>d</w:t>
                  </w:r>
                  <w:r>
                    <w:rPr>
                      <w:color w:val="auto"/>
                    </w:rPr>
                    <w:t xml:space="preserve">lagen des chemischen Rechnens abverlangt und stellt für die Schülerinnen und Schüler eine gute Möglichkeit zur Übung dar. Die Cola muss vorher unbedingt abgekocht werden, damit das gelöste Hydrogencarbonat vollständig entfernt wurde, da dies sonst die Messung verfälscht. In diesem Versuch ist es nicht gelungen, die Cola durch mehrmaliges Aufkochen mit Aktivkohle und anschließender Filtration über einen </w:t>
                  </w:r>
                  <w:proofErr w:type="spellStart"/>
                  <w:r>
                    <w:rPr>
                      <w:color w:val="auto"/>
                    </w:rPr>
                    <w:t>Büchnertrichter</w:t>
                  </w:r>
                  <w:proofErr w:type="spellEnd"/>
                  <w:r>
                    <w:rPr>
                      <w:color w:val="auto"/>
                    </w:rPr>
                    <w:t xml:space="preserve"> zu entfärben, damit ein Indikator wie </w:t>
                  </w:r>
                  <w:proofErr w:type="spellStart"/>
                  <w:r>
                    <w:rPr>
                      <w:color w:val="auto"/>
                    </w:rPr>
                    <w:t>Bromthymolblau</w:t>
                  </w:r>
                  <w:proofErr w:type="spellEnd"/>
                  <w:r>
                    <w:rPr>
                      <w:color w:val="auto"/>
                    </w:rPr>
                    <w:t xml:space="preserve"> die Umschlagspunkte zu veranschaulichen. Die dunkle Farbe der Cola stammt von dem Farbstoff E 150d. Hinter der Abkürzung verbirgt sich Ammoniumsulfit-</w:t>
                  </w:r>
                  <w:proofErr w:type="spellStart"/>
                  <w:r>
                    <w:rPr>
                      <w:color w:val="auto"/>
                    </w:rPr>
                    <w:t>Zuckerkulör</w:t>
                  </w:r>
                  <w:proofErr w:type="spellEnd"/>
                  <w:r>
                    <w:rPr>
                      <w:color w:val="auto"/>
                    </w:rPr>
                    <w:t>. Dieser Versuch ist sehr alltagsnah, da Cola mit zu den beliebtesten Genussgeträ</w:t>
                  </w:r>
                  <w:r>
                    <w:rPr>
                      <w:color w:val="auto"/>
                    </w:rPr>
                    <w:t>n</w:t>
                  </w:r>
                  <w:r>
                    <w:rPr>
                      <w:color w:val="auto"/>
                    </w:rPr>
                    <w:t>ken in der Gesellschaft zählt.</w:t>
                  </w:r>
                </w:p>
              </w:txbxContent>
            </v:textbox>
            <w10:wrap type="none"/>
            <w10:anchorlock/>
          </v:shape>
        </w:pict>
      </w:r>
    </w:p>
    <w:p w:rsidR="008411EE" w:rsidRPr="00CC307A" w:rsidRDefault="00D837BB" w:rsidP="008411EE">
      <w:pPr>
        <w:pStyle w:val="berschrift2"/>
        <w:rPr>
          <w:color w:val="auto"/>
        </w:rPr>
      </w:pPr>
      <w:r w:rsidRPr="00D837BB">
        <w:rPr>
          <w:noProof/>
          <w:lang w:eastAsia="de-DE"/>
        </w:rPr>
        <w:pict>
          <v:shape id="_x0000_s1162" type="#_x0000_t202" style="position:absolute;left:0;text-align:left;margin-left:-.05pt;margin-top:51.4pt;width:462.45pt;height:123.65pt;z-index:251794432;mso-width-relative:margin;mso-height-relative:margin" fillcolor="white [3201]" strokecolor="#4bacc6 [3208]" strokeweight="1pt">
            <v:stroke dashstyle="dash"/>
            <v:shadow color="#868686"/>
            <v:textbox style="mso-next-textbox:#_x0000_s1162">
              <w:txbxContent>
                <w:p w:rsidR="00777888" w:rsidRPr="00F31EBF" w:rsidRDefault="00777888" w:rsidP="008411EE">
                  <w:pPr>
                    <w:rPr>
                      <w:color w:val="auto"/>
                    </w:rPr>
                  </w:pPr>
                  <w:r>
                    <w:rPr>
                      <w:color w:val="auto"/>
                    </w:rPr>
                    <w:t xml:space="preserve">In diesem Versuch wird der Calcium-Gehalt in einer Wasserprobe mithilfe einer </w:t>
                  </w:r>
                  <w:proofErr w:type="spellStart"/>
                  <w:r>
                    <w:rPr>
                      <w:color w:val="auto"/>
                    </w:rPr>
                    <w:t>komplexometrischen</w:t>
                  </w:r>
                  <w:proofErr w:type="spellEnd"/>
                  <w:r>
                    <w:rPr>
                      <w:color w:val="auto"/>
                    </w:rPr>
                    <w:t xml:space="preserve"> Titration ermittelt. Für diesen Versuch sollten die Grundlagen der Titr</w:t>
                  </w:r>
                  <w:r>
                    <w:rPr>
                      <w:color w:val="auto"/>
                    </w:rPr>
                    <w:t>a</w:t>
                  </w:r>
                  <w:r>
                    <w:rPr>
                      <w:color w:val="auto"/>
                    </w:rPr>
                    <w:t>tion als Vorwissen bei den Schülerinnen und Schülern präsent sein. Didaktisch reduziert wird hier, dass nicht auf die besonderen Eigenschaften des EDTA, dass es Chelatkomplexe ausbilden kann, eingegangen wird. Des Weiteren wird auch nicht auf die Komplexstruktur eingegangen, da dies für die Schülerinnen und Schüler schwer zu begreifen ist.</w:t>
                  </w:r>
                </w:p>
              </w:txbxContent>
            </v:textbox>
            <w10:wrap type="square"/>
          </v:shape>
        </w:pict>
      </w:r>
      <w:bookmarkStart w:id="10" w:name="_Toc457758476"/>
      <w:r w:rsidR="00CC307A" w:rsidRPr="00CC307A">
        <w:rPr>
          <w:color w:val="auto"/>
        </w:rPr>
        <w:t>V2 –</w:t>
      </w:r>
      <w:r w:rsidR="008411EE">
        <w:rPr>
          <w:color w:val="auto"/>
        </w:rPr>
        <w:t xml:space="preserve"> </w:t>
      </w:r>
      <w:r w:rsidR="00527710">
        <w:rPr>
          <w:color w:val="auto"/>
        </w:rPr>
        <w:t>Bestimmung de</w:t>
      </w:r>
      <w:r w:rsidR="00975A31">
        <w:rPr>
          <w:color w:val="auto"/>
        </w:rPr>
        <w:t>s Ca</w:t>
      </w:r>
      <w:r w:rsidR="00975A31">
        <w:rPr>
          <w:color w:val="auto"/>
          <w:vertAlign w:val="superscript"/>
        </w:rPr>
        <w:t>2+</w:t>
      </w:r>
      <w:r w:rsidR="00975A31">
        <w:rPr>
          <w:color w:val="auto"/>
        </w:rPr>
        <w:noBreakHyphen/>
        <w:t xml:space="preserve"> Gehalts in einer Wasserprobe mittels komplexometr</w:t>
      </w:r>
      <w:r w:rsidR="00975A31">
        <w:rPr>
          <w:color w:val="auto"/>
        </w:rPr>
        <w:t>i</w:t>
      </w:r>
      <w:r w:rsidR="00975A31">
        <w:rPr>
          <w:color w:val="auto"/>
        </w:rPr>
        <w:t>scher Titration</w:t>
      </w:r>
      <w:bookmarkEnd w:id="10"/>
    </w:p>
    <w:p w:rsidR="008411EE" w:rsidRDefault="008411EE" w:rsidP="008411EE">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8411EE" w:rsidRPr="009C5E28" w:rsidTr="008411EE">
        <w:tc>
          <w:tcPr>
            <w:tcW w:w="9322" w:type="dxa"/>
            <w:gridSpan w:val="9"/>
            <w:shd w:val="clear" w:color="auto" w:fill="4F81BD"/>
            <w:vAlign w:val="center"/>
          </w:tcPr>
          <w:p w:rsidR="008411EE" w:rsidRPr="00F31EBF" w:rsidRDefault="008411EE" w:rsidP="008411EE">
            <w:pPr>
              <w:spacing w:after="0"/>
              <w:jc w:val="center"/>
              <w:rPr>
                <w:b/>
                <w:bCs/>
                <w:color w:val="FFFFFF" w:themeColor="background1"/>
              </w:rPr>
            </w:pPr>
            <w:r w:rsidRPr="00F31EBF">
              <w:rPr>
                <w:b/>
                <w:bCs/>
                <w:color w:val="FFFFFF" w:themeColor="background1"/>
              </w:rPr>
              <w:t>Gefahrenstoffe</w:t>
            </w:r>
          </w:p>
        </w:tc>
      </w:tr>
      <w:tr w:rsidR="008411EE" w:rsidRPr="009C5E28" w:rsidTr="008411E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411EE" w:rsidRPr="009C5E28" w:rsidRDefault="000D1D5D" w:rsidP="008411EE">
            <w:pPr>
              <w:spacing w:after="0" w:line="276" w:lineRule="auto"/>
              <w:jc w:val="center"/>
              <w:rPr>
                <w:b/>
                <w:bCs/>
              </w:rPr>
            </w:pPr>
            <w:r>
              <w:rPr>
                <w:sz w:val="20"/>
              </w:rPr>
              <w:t>EDTA</w:t>
            </w:r>
            <w:r w:rsidR="00C42F06">
              <w:rPr>
                <w:sz w:val="20"/>
              </w:rPr>
              <w:t xml:space="preserve"> (</w:t>
            </w:r>
            <w:proofErr w:type="spellStart"/>
            <w:r w:rsidR="00C42F06">
              <w:rPr>
                <w:sz w:val="20"/>
              </w:rPr>
              <w:t>Ethylendiamintetraessigsäure</w:t>
            </w:r>
            <w:proofErr w:type="spellEnd"/>
            <w:r w:rsidR="00C42F06">
              <w:rPr>
                <w:sz w:val="20"/>
              </w:rPr>
              <w:t>)</w:t>
            </w:r>
          </w:p>
        </w:tc>
        <w:tc>
          <w:tcPr>
            <w:tcW w:w="3177" w:type="dxa"/>
            <w:gridSpan w:val="3"/>
            <w:tcBorders>
              <w:top w:val="single" w:sz="8" w:space="0" w:color="4F81BD"/>
              <w:bottom w:val="single" w:sz="8" w:space="0" w:color="4F81BD"/>
            </w:tcBorders>
            <w:shd w:val="clear" w:color="auto" w:fill="auto"/>
            <w:vAlign w:val="center"/>
          </w:tcPr>
          <w:p w:rsidR="008411EE" w:rsidRPr="009C5E28" w:rsidRDefault="008411EE" w:rsidP="008411EE">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411EE" w:rsidRPr="009C5E28" w:rsidRDefault="008411EE" w:rsidP="008411EE">
            <w:pPr>
              <w:spacing w:after="0"/>
              <w:jc w:val="center"/>
            </w:pPr>
            <w:r w:rsidRPr="009C5E28">
              <w:rPr>
                <w:sz w:val="20"/>
              </w:rPr>
              <w:t xml:space="preserve">P: </w:t>
            </w:r>
            <w:r>
              <w:t>-</w:t>
            </w:r>
          </w:p>
        </w:tc>
      </w:tr>
      <w:tr w:rsidR="008411EE" w:rsidRPr="009C5E28" w:rsidTr="008411EE">
        <w:trPr>
          <w:trHeight w:val="434"/>
        </w:trPr>
        <w:tc>
          <w:tcPr>
            <w:tcW w:w="3027" w:type="dxa"/>
            <w:gridSpan w:val="3"/>
            <w:shd w:val="clear" w:color="auto" w:fill="auto"/>
            <w:vAlign w:val="center"/>
          </w:tcPr>
          <w:p w:rsidR="008411EE" w:rsidRPr="009C5E28" w:rsidRDefault="000D1D5D" w:rsidP="008411EE">
            <w:pPr>
              <w:spacing w:after="0" w:line="276" w:lineRule="auto"/>
              <w:jc w:val="center"/>
              <w:rPr>
                <w:bCs/>
                <w:sz w:val="20"/>
              </w:rPr>
            </w:pPr>
            <w:r>
              <w:rPr>
                <w:color w:val="auto"/>
                <w:sz w:val="20"/>
                <w:szCs w:val="20"/>
              </w:rPr>
              <w:t>Ammoniak</w:t>
            </w:r>
          </w:p>
        </w:tc>
        <w:tc>
          <w:tcPr>
            <w:tcW w:w="3177" w:type="dxa"/>
            <w:gridSpan w:val="3"/>
            <w:shd w:val="clear" w:color="auto" w:fill="auto"/>
            <w:vAlign w:val="center"/>
          </w:tcPr>
          <w:p w:rsidR="008411EE" w:rsidRPr="009C5E28" w:rsidRDefault="008411EE" w:rsidP="008411EE">
            <w:pPr>
              <w:pStyle w:val="Beschriftung"/>
              <w:spacing w:after="0"/>
              <w:jc w:val="center"/>
              <w:rPr>
                <w:sz w:val="20"/>
              </w:rPr>
            </w:pPr>
            <w:r w:rsidRPr="009C5E28">
              <w:rPr>
                <w:sz w:val="20"/>
              </w:rPr>
              <w:t xml:space="preserve">H: </w:t>
            </w:r>
            <w:r w:rsidR="000D1D5D">
              <w:rPr>
                <w:sz w:val="20"/>
              </w:rPr>
              <w:t>221, 280,331, 314, 400</w:t>
            </w:r>
          </w:p>
        </w:tc>
        <w:tc>
          <w:tcPr>
            <w:tcW w:w="3118" w:type="dxa"/>
            <w:gridSpan w:val="3"/>
            <w:shd w:val="clear" w:color="auto" w:fill="auto"/>
            <w:vAlign w:val="center"/>
          </w:tcPr>
          <w:p w:rsidR="008411EE" w:rsidRPr="009C5E28" w:rsidRDefault="008411EE" w:rsidP="008411EE">
            <w:pPr>
              <w:pStyle w:val="Beschriftung"/>
              <w:spacing w:after="0"/>
              <w:jc w:val="center"/>
              <w:rPr>
                <w:sz w:val="20"/>
              </w:rPr>
            </w:pPr>
            <w:r w:rsidRPr="009C5E28">
              <w:rPr>
                <w:sz w:val="20"/>
              </w:rPr>
              <w:t xml:space="preserve">P: </w:t>
            </w:r>
            <w:r w:rsidR="000D1D5D" w:rsidRPr="000D1D5D">
              <w:rPr>
                <w:sz w:val="20"/>
              </w:rPr>
              <w:t>210, 260, 280, 27</w:t>
            </w:r>
            <w:r w:rsidR="000D1D5D">
              <w:rPr>
                <w:sz w:val="20"/>
              </w:rPr>
              <w:t>3, 304+ 340, 303+ 361+ 353, 305+ 351 338, 315,377, 381</w:t>
            </w:r>
          </w:p>
        </w:tc>
      </w:tr>
      <w:tr w:rsidR="008411EE" w:rsidRPr="009C5E28" w:rsidTr="008411EE">
        <w:trPr>
          <w:trHeight w:val="434"/>
        </w:trPr>
        <w:tc>
          <w:tcPr>
            <w:tcW w:w="3027" w:type="dxa"/>
            <w:gridSpan w:val="3"/>
            <w:shd w:val="clear" w:color="auto" w:fill="auto"/>
            <w:vAlign w:val="center"/>
          </w:tcPr>
          <w:p w:rsidR="008411EE" w:rsidRDefault="000D1D5D" w:rsidP="008411EE">
            <w:pPr>
              <w:spacing w:after="0" w:line="276" w:lineRule="auto"/>
              <w:jc w:val="center"/>
              <w:rPr>
                <w:color w:val="auto"/>
                <w:sz w:val="20"/>
                <w:szCs w:val="20"/>
              </w:rPr>
            </w:pPr>
            <w:r>
              <w:rPr>
                <w:color w:val="auto"/>
                <w:sz w:val="20"/>
                <w:szCs w:val="20"/>
              </w:rPr>
              <w:t>Wasserprobe</w:t>
            </w:r>
          </w:p>
        </w:tc>
        <w:tc>
          <w:tcPr>
            <w:tcW w:w="3177" w:type="dxa"/>
            <w:gridSpan w:val="3"/>
            <w:shd w:val="clear" w:color="auto" w:fill="auto"/>
            <w:vAlign w:val="center"/>
          </w:tcPr>
          <w:p w:rsidR="008411EE" w:rsidRPr="009C5E28" w:rsidRDefault="008411EE" w:rsidP="008411EE">
            <w:pPr>
              <w:pStyle w:val="Beschriftung"/>
              <w:spacing w:after="0"/>
              <w:jc w:val="center"/>
              <w:rPr>
                <w:sz w:val="20"/>
              </w:rPr>
            </w:pPr>
            <w:r>
              <w:rPr>
                <w:sz w:val="20"/>
              </w:rPr>
              <w:t>H: 312+ 332, 315, 319, 335, 372, 400</w:t>
            </w:r>
            <w:r w:rsidR="000D1D5D">
              <w:rPr>
                <w:sz w:val="20"/>
              </w:rPr>
              <w:t xml:space="preserve">, , </w:t>
            </w:r>
          </w:p>
        </w:tc>
        <w:tc>
          <w:tcPr>
            <w:tcW w:w="3118" w:type="dxa"/>
            <w:gridSpan w:val="3"/>
            <w:shd w:val="clear" w:color="auto" w:fill="auto"/>
            <w:vAlign w:val="center"/>
          </w:tcPr>
          <w:p w:rsidR="008411EE" w:rsidRPr="009C5E28" w:rsidRDefault="008411EE" w:rsidP="008411EE">
            <w:pPr>
              <w:pStyle w:val="Beschriftung"/>
              <w:spacing w:after="0"/>
              <w:jc w:val="center"/>
              <w:rPr>
                <w:sz w:val="20"/>
              </w:rPr>
            </w:pPr>
            <w:r>
              <w:rPr>
                <w:sz w:val="20"/>
              </w:rPr>
              <w:t>P: 273, 302+ 352, 305+ 351+ 338, 314</w:t>
            </w:r>
          </w:p>
        </w:tc>
      </w:tr>
      <w:tr w:rsidR="005A6EE1" w:rsidRPr="009C5E28" w:rsidTr="008411EE">
        <w:trPr>
          <w:trHeight w:val="434"/>
        </w:trPr>
        <w:tc>
          <w:tcPr>
            <w:tcW w:w="3027" w:type="dxa"/>
            <w:gridSpan w:val="3"/>
            <w:shd w:val="clear" w:color="auto" w:fill="auto"/>
            <w:vAlign w:val="center"/>
          </w:tcPr>
          <w:p w:rsidR="005A6EE1" w:rsidRDefault="00C16C40" w:rsidP="008411EE">
            <w:pPr>
              <w:spacing w:after="0" w:line="276" w:lineRule="auto"/>
              <w:jc w:val="center"/>
              <w:rPr>
                <w:color w:val="auto"/>
                <w:sz w:val="20"/>
                <w:szCs w:val="20"/>
              </w:rPr>
            </w:pPr>
            <w:r>
              <w:rPr>
                <w:color w:val="auto"/>
                <w:sz w:val="20"/>
                <w:szCs w:val="20"/>
              </w:rPr>
              <w:t>Indikator-Puffertabletten</w:t>
            </w:r>
          </w:p>
        </w:tc>
        <w:tc>
          <w:tcPr>
            <w:tcW w:w="3177" w:type="dxa"/>
            <w:gridSpan w:val="3"/>
            <w:shd w:val="clear" w:color="auto" w:fill="auto"/>
            <w:vAlign w:val="center"/>
          </w:tcPr>
          <w:p w:rsidR="005A6EE1" w:rsidRDefault="00C16C40" w:rsidP="008411EE">
            <w:pPr>
              <w:pStyle w:val="Beschriftung"/>
              <w:spacing w:after="0"/>
              <w:jc w:val="center"/>
              <w:rPr>
                <w:sz w:val="20"/>
              </w:rPr>
            </w:pPr>
            <w:r>
              <w:rPr>
                <w:sz w:val="20"/>
              </w:rPr>
              <w:t>H:-</w:t>
            </w:r>
          </w:p>
        </w:tc>
        <w:tc>
          <w:tcPr>
            <w:tcW w:w="3118" w:type="dxa"/>
            <w:gridSpan w:val="3"/>
            <w:shd w:val="clear" w:color="auto" w:fill="auto"/>
            <w:vAlign w:val="center"/>
          </w:tcPr>
          <w:p w:rsidR="005A6EE1" w:rsidRDefault="00C16C40" w:rsidP="008411EE">
            <w:pPr>
              <w:pStyle w:val="Beschriftung"/>
              <w:spacing w:after="0"/>
              <w:jc w:val="center"/>
              <w:rPr>
                <w:sz w:val="20"/>
              </w:rPr>
            </w:pPr>
            <w:r>
              <w:rPr>
                <w:sz w:val="20"/>
              </w:rPr>
              <w:t>P:-</w:t>
            </w:r>
          </w:p>
        </w:tc>
      </w:tr>
      <w:tr w:rsidR="008411EE" w:rsidRPr="009C5E28" w:rsidTr="008411EE">
        <w:tc>
          <w:tcPr>
            <w:tcW w:w="1009" w:type="dxa"/>
            <w:tcBorders>
              <w:top w:val="single" w:sz="8" w:space="0" w:color="4F81BD"/>
              <w:left w:val="single" w:sz="8" w:space="0" w:color="4F81BD"/>
              <w:bottom w:val="single" w:sz="8" w:space="0" w:color="4F81BD"/>
            </w:tcBorders>
            <w:shd w:val="clear" w:color="auto" w:fill="auto"/>
            <w:vAlign w:val="center"/>
          </w:tcPr>
          <w:p w:rsidR="008411EE" w:rsidRPr="009C5E28" w:rsidRDefault="000D1D5D" w:rsidP="008411EE">
            <w:pPr>
              <w:spacing w:after="0"/>
              <w:jc w:val="center"/>
              <w:rPr>
                <w:b/>
                <w:bCs/>
              </w:rPr>
            </w:pPr>
            <w:r>
              <w:rPr>
                <w:b/>
                <w:bCs/>
                <w:noProof/>
                <w:lang w:eastAsia="de-DE"/>
              </w:rPr>
              <w:drawing>
                <wp:inline distT="0" distB="0" distL="0" distR="0">
                  <wp:extent cx="503525" cy="504000"/>
                  <wp:effectExtent l="19050" t="0" r="0" b="0"/>
                  <wp:docPr id="65" name="Bild 50" descr="C:\Users\Kristina\Documents\SVP CHEMIE\Piktogramm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istina\Documents\SVP CHEMIE\Piktogramme\Piktogramme\Ätzend.png"/>
                          <pic:cNvPicPr>
                            <a:picLocks noChangeAspect="1" noChangeArrowheads="1"/>
                          </pic:cNvPicPr>
                        </pic:nvPicPr>
                        <pic:blipFill>
                          <a:blip r:embed="rId24" cstate="print"/>
                          <a:srcRect/>
                          <a:stretch>
                            <a:fillRect/>
                          </a:stretch>
                        </pic:blipFill>
                        <pic:spPr bwMode="auto">
                          <a:xfrm>
                            <a:off x="0" y="0"/>
                            <a:ext cx="503525"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11EE" w:rsidRPr="009C5E28" w:rsidRDefault="008411EE" w:rsidP="008411EE">
            <w:pPr>
              <w:spacing w:after="0"/>
              <w:jc w:val="center"/>
            </w:pPr>
            <w:r>
              <w:rPr>
                <w:noProof/>
                <w:lang w:eastAsia="de-DE"/>
              </w:rPr>
              <w:drawing>
                <wp:inline distT="0" distB="0" distL="0" distR="0">
                  <wp:extent cx="504190" cy="504190"/>
                  <wp:effectExtent l="0" t="0" r="0" b="0"/>
                  <wp:docPr id="5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11EE" w:rsidRPr="009C5E28" w:rsidRDefault="008411EE" w:rsidP="008411EE">
            <w:pPr>
              <w:spacing w:after="0"/>
              <w:jc w:val="center"/>
            </w:pPr>
            <w:r>
              <w:rPr>
                <w:noProof/>
                <w:lang w:eastAsia="de-DE"/>
              </w:rPr>
              <w:drawing>
                <wp:inline distT="0" distB="0" distL="0" distR="0">
                  <wp:extent cx="504190" cy="504190"/>
                  <wp:effectExtent l="0" t="0" r="0" b="0"/>
                  <wp:docPr id="5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11EE" w:rsidRPr="009C5E28" w:rsidRDefault="008411EE" w:rsidP="008411EE">
            <w:pPr>
              <w:spacing w:after="0"/>
              <w:jc w:val="center"/>
            </w:pPr>
            <w:r>
              <w:rPr>
                <w:noProof/>
                <w:lang w:eastAsia="de-DE"/>
              </w:rPr>
              <w:drawing>
                <wp:inline distT="0" distB="0" distL="0" distR="0">
                  <wp:extent cx="504190" cy="504190"/>
                  <wp:effectExtent l="0" t="0" r="0" b="0"/>
                  <wp:docPr id="5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411EE" w:rsidRPr="009C5E28" w:rsidRDefault="000D1D5D" w:rsidP="008411EE">
            <w:pPr>
              <w:spacing w:after="0"/>
              <w:jc w:val="center"/>
            </w:pPr>
            <w:r>
              <w:rPr>
                <w:noProof/>
                <w:lang w:eastAsia="de-DE"/>
              </w:rPr>
              <w:drawing>
                <wp:inline distT="0" distB="0" distL="0" distR="0">
                  <wp:extent cx="498852" cy="504000"/>
                  <wp:effectExtent l="19050" t="0" r="0" b="0"/>
                  <wp:docPr id="63" name="Bild 48" descr="C:\Users\Kristin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istina\Documents\SVP CHEMIE\Piktogramme\Piktogramme\Gasflasche.png"/>
                          <pic:cNvPicPr>
                            <a:picLocks noChangeAspect="1" noChangeArrowheads="1"/>
                          </pic:cNvPicPr>
                        </pic:nvPicPr>
                        <pic:blipFill>
                          <a:blip r:embed="rId32" cstate="print"/>
                          <a:srcRect/>
                          <a:stretch>
                            <a:fillRect/>
                          </a:stretch>
                        </pic:blipFill>
                        <pic:spPr bwMode="auto">
                          <a:xfrm>
                            <a:off x="0" y="0"/>
                            <a:ext cx="498852" cy="504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411EE" w:rsidRPr="009C5E28" w:rsidRDefault="008411EE" w:rsidP="008411EE">
            <w:pPr>
              <w:spacing w:after="0"/>
              <w:jc w:val="center"/>
            </w:pPr>
            <w:r>
              <w:rPr>
                <w:noProof/>
                <w:lang w:eastAsia="de-DE"/>
              </w:rPr>
              <w:drawing>
                <wp:inline distT="0" distB="0" distL="0" distR="0">
                  <wp:extent cx="504190" cy="504190"/>
                  <wp:effectExtent l="0" t="0" r="0" b="0"/>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411EE" w:rsidRPr="009C5E28" w:rsidRDefault="000D1D5D" w:rsidP="008411EE">
            <w:pPr>
              <w:spacing w:after="0"/>
              <w:jc w:val="center"/>
            </w:pPr>
            <w:r>
              <w:rPr>
                <w:noProof/>
                <w:lang w:eastAsia="de-DE"/>
              </w:rPr>
              <w:drawing>
                <wp:inline distT="0" distB="0" distL="0" distR="0">
                  <wp:extent cx="503525" cy="504000"/>
                  <wp:effectExtent l="19050" t="0" r="0" b="0"/>
                  <wp:docPr id="64" name="Bild 49" descr="C:\Users\Kristina\Documents\SVP CHEMIE\Piktogramm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ristina\Documents\SVP CHEMIE\Piktogramme\Piktogramme\Giftig.png"/>
                          <pic:cNvPicPr>
                            <a:picLocks noChangeAspect="1" noChangeArrowheads="1"/>
                          </pic:cNvPicPr>
                        </pic:nvPicPr>
                        <pic:blipFill>
                          <a:blip r:embed="rId33" cstate="print"/>
                          <a:srcRect/>
                          <a:stretch>
                            <a:fillRect/>
                          </a:stretch>
                        </pic:blipFill>
                        <pic:spPr bwMode="auto">
                          <a:xfrm>
                            <a:off x="0" y="0"/>
                            <a:ext cx="503525"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411EE" w:rsidRPr="009C5E28" w:rsidRDefault="000D1D5D" w:rsidP="008411EE">
            <w:pPr>
              <w:spacing w:after="0"/>
              <w:jc w:val="center"/>
            </w:pPr>
            <w:r>
              <w:rPr>
                <w:noProof/>
                <w:lang w:eastAsia="de-DE"/>
              </w:rPr>
              <w:drawing>
                <wp:inline distT="0" distB="0" distL="0" distR="0">
                  <wp:extent cx="503843" cy="504000"/>
                  <wp:effectExtent l="19050" t="0" r="0" b="0"/>
                  <wp:docPr id="66" name="Bild 51"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ristina\Documents\SVP CHEMIE\Piktogramme\Piktogramme\Grau\Reizend.png"/>
                          <pic:cNvPicPr>
                            <a:picLocks noChangeAspect="1" noChangeArrowheads="1"/>
                          </pic:cNvPicPr>
                        </pic:nvPicPr>
                        <pic:blipFill>
                          <a:blip r:embed="rId29" cstate="print"/>
                          <a:srcRect/>
                          <a:stretch>
                            <a:fillRect/>
                          </a:stretch>
                        </pic:blipFill>
                        <pic:spPr bwMode="auto">
                          <a:xfrm>
                            <a:off x="0" y="0"/>
                            <a:ext cx="503843"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411EE" w:rsidRPr="009C5E28" w:rsidRDefault="008411EE" w:rsidP="008411EE">
            <w:pPr>
              <w:spacing w:after="0"/>
              <w:jc w:val="center"/>
            </w:pPr>
            <w:r>
              <w:rPr>
                <w:noProof/>
                <w:lang w:eastAsia="de-DE"/>
              </w:rPr>
              <w:drawing>
                <wp:inline distT="0" distB="0" distL="0" distR="0">
                  <wp:extent cx="504040" cy="504000"/>
                  <wp:effectExtent l="19050" t="0" r="0" b="0"/>
                  <wp:docPr id="60" name="Bild 2" descr="C:\Users\Kristina\Documents\SVP CHEMIE\Piktogramm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Umweltgefahr.png"/>
                          <pic:cNvPicPr>
                            <a:picLocks noChangeAspect="1" noChangeArrowheads="1"/>
                          </pic:cNvPicPr>
                        </pic:nvPicPr>
                        <pic:blipFill>
                          <a:blip r:embed="rId21" cstate="print"/>
                          <a:srcRect/>
                          <a:stretch>
                            <a:fillRect/>
                          </a:stretch>
                        </pic:blipFill>
                        <pic:spPr bwMode="auto">
                          <a:xfrm>
                            <a:off x="0" y="0"/>
                            <a:ext cx="504040" cy="504000"/>
                          </a:xfrm>
                          <a:prstGeom prst="rect">
                            <a:avLst/>
                          </a:prstGeom>
                          <a:noFill/>
                          <a:ln w="9525">
                            <a:noFill/>
                            <a:miter lim="800000"/>
                            <a:headEnd/>
                            <a:tailEnd/>
                          </a:ln>
                        </pic:spPr>
                      </pic:pic>
                    </a:graphicData>
                  </a:graphic>
                </wp:inline>
              </w:drawing>
            </w:r>
          </w:p>
        </w:tc>
      </w:tr>
    </w:tbl>
    <w:p w:rsidR="008411EE" w:rsidRDefault="008411EE" w:rsidP="008411EE">
      <w:pPr>
        <w:tabs>
          <w:tab w:val="left" w:pos="1701"/>
          <w:tab w:val="left" w:pos="1985"/>
        </w:tabs>
        <w:ind w:left="1980" w:hanging="1980"/>
      </w:pPr>
    </w:p>
    <w:p w:rsidR="008411EE" w:rsidRDefault="008411EE" w:rsidP="008411EE">
      <w:pPr>
        <w:tabs>
          <w:tab w:val="left" w:pos="1701"/>
          <w:tab w:val="left" w:pos="1985"/>
        </w:tabs>
        <w:ind w:left="1980" w:hanging="1980"/>
      </w:pPr>
      <w:r>
        <w:lastRenderedPageBreak/>
        <w:t xml:space="preserve">Materialien: </w:t>
      </w:r>
      <w:r>
        <w:tab/>
      </w:r>
      <w:r>
        <w:tab/>
        <w:t>Bürett</w:t>
      </w:r>
      <w:r w:rsidR="00F32AFD">
        <w:t>e, Trichter,</w:t>
      </w:r>
      <w:r>
        <w:t xml:space="preserve">, </w:t>
      </w:r>
      <w:proofErr w:type="spellStart"/>
      <w:r>
        <w:t>Mag</w:t>
      </w:r>
      <w:r w:rsidR="00F32AFD">
        <w:t>netrührer</w:t>
      </w:r>
      <w:proofErr w:type="spellEnd"/>
      <w:r w:rsidR="00F32AFD">
        <w:t xml:space="preserve">, Pipette, </w:t>
      </w:r>
      <w:proofErr w:type="spellStart"/>
      <w:r w:rsidR="00F32AFD">
        <w:t>Peleusball</w:t>
      </w:r>
      <w:proofErr w:type="spellEnd"/>
      <w:r>
        <w:t xml:space="preserve">, Bergerglas (250 </w:t>
      </w:r>
      <w:proofErr w:type="spellStart"/>
      <w:r>
        <w:t>mL</w:t>
      </w:r>
      <w:proofErr w:type="spellEnd"/>
      <w:r>
        <w:t>),</w:t>
      </w:r>
      <w:r w:rsidRPr="003536C5">
        <w:t xml:space="preserve"> </w:t>
      </w:r>
      <w:r>
        <w:t>Stativ, Muffe</w:t>
      </w:r>
      <w:r w:rsidR="00F32AFD">
        <w:t>, weiße Unterlage</w:t>
      </w:r>
    </w:p>
    <w:p w:rsidR="008411EE" w:rsidRPr="00ED07C2" w:rsidRDefault="008411EE" w:rsidP="00F32AFD">
      <w:pPr>
        <w:tabs>
          <w:tab w:val="left" w:pos="1701"/>
          <w:tab w:val="left" w:pos="1985"/>
        </w:tabs>
        <w:ind w:left="1980" w:hanging="1980"/>
      </w:pPr>
      <w:r>
        <w:t>Chemikalien:</w:t>
      </w:r>
      <w:r>
        <w:tab/>
      </w:r>
      <w:r>
        <w:tab/>
      </w:r>
      <w:r w:rsidR="00F32AFD">
        <w:t>EDTA-Lösung ( 0,01 M), konzentrierter Ammoniak, Wasserprobe, Indik</w:t>
      </w:r>
      <w:r w:rsidR="00F32AFD">
        <w:t>a</w:t>
      </w:r>
      <w:r w:rsidR="00F32AFD">
        <w:t>tor-Puffertablette</w:t>
      </w:r>
    </w:p>
    <w:p w:rsidR="008411EE" w:rsidRDefault="008411EE" w:rsidP="008411EE">
      <w:pPr>
        <w:tabs>
          <w:tab w:val="left" w:pos="1701"/>
          <w:tab w:val="left" w:pos="1985"/>
        </w:tabs>
        <w:ind w:left="1980" w:hanging="1980"/>
      </w:pPr>
      <w:r>
        <w:t xml:space="preserve">Durchführung: </w:t>
      </w:r>
      <w:r>
        <w:tab/>
      </w:r>
      <w:r>
        <w:tab/>
      </w:r>
      <w:r>
        <w:tab/>
      </w:r>
      <w:r w:rsidR="00F32AFD">
        <w:t>Die zu untersuchende Wasserprobe (100 mL) wird in ein Becherglas gefüllt und mit einer Indikator-Puffer-Tablette versetzt. Dazu wird 1 mL konze</w:t>
      </w:r>
      <w:r w:rsidR="00F32AFD">
        <w:t>n</w:t>
      </w:r>
      <w:r w:rsidR="00F32AFD">
        <w:t xml:space="preserve">trierter Ammoniaklösung gegeben. Die Bürette wird mithilfe des Trichters mit EDTA-Lösung befüllt. </w:t>
      </w:r>
      <w:r w:rsidR="00C1642B">
        <w:t>Nun wird die Wasserprobe bis zum Farbu</w:t>
      </w:r>
      <w:r w:rsidR="00C1642B">
        <w:t>m</w:t>
      </w:r>
      <w:r w:rsidR="00C1642B">
        <w:t>schlag titriert.</w:t>
      </w:r>
    </w:p>
    <w:p w:rsidR="008411EE" w:rsidRDefault="008411EE" w:rsidP="008411EE">
      <w:pPr>
        <w:tabs>
          <w:tab w:val="left" w:pos="1701"/>
          <w:tab w:val="left" w:pos="1985"/>
        </w:tabs>
        <w:ind w:left="1980" w:hanging="1980"/>
      </w:pPr>
      <w:r>
        <w:t>Beobachtung:</w:t>
      </w:r>
      <w:r>
        <w:tab/>
      </w:r>
      <w:r>
        <w:tab/>
      </w:r>
      <w:r>
        <w:tab/>
      </w:r>
      <w:r w:rsidR="00C1642B">
        <w:t>Bei Zugabe der Indikator-Puffer-Tablette zur Wasserprobe färbt sich die Lösung gelblich. Wird der konz. Ammoniak zugefügt, so färbt sich die gel</w:t>
      </w:r>
      <w:r w:rsidR="00C1642B">
        <w:t>b</w:t>
      </w:r>
      <w:r w:rsidR="00C1642B">
        <w:t>liche Lösung rot. Der Umschlagspunkt ist erreicht, wenn sich die Lösung grau-grün färbt</w:t>
      </w:r>
      <w:r w:rsidR="00D64B7A">
        <w:t xml:space="preserve"> (siehe Abbildung 5)</w:t>
      </w:r>
      <w:r w:rsidR="00C1642B">
        <w:t>.</w:t>
      </w:r>
    </w:p>
    <w:p w:rsidR="008411EE" w:rsidRDefault="008411EE" w:rsidP="008411EE">
      <w:pPr>
        <w:pStyle w:val="Listenabsatz"/>
        <w:keepNext/>
        <w:tabs>
          <w:tab w:val="left" w:pos="1701"/>
          <w:tab w:val="left" w:pos="1985"/>
        </w:tabs>
        <w:jc w:val="center"/>
      </w:pPr>
    </w:p>
    <w:p w:rsidR="008411EE" w:rsidRDefault="00C253B9" w:rsidP="00D64B7A">
      <w:pPr>
        <w:pStyle w:val="Listenabsatz"/>
        <w:keepNext/>
        <w:tabs>
          <w:tab w:val="left" w:pos="1701"/>
          <w:tab w:val="left" w:pos="1985"/>
        </w:tabs>
        <w:ind w:left="1080"/>
        <w:jc w:val="center"/>
      </w:pPr>
      <w:r>
        <w:t>1.</w:t>
      </w:r>
      <w:r w:rsidR="00D64B7A">
        <w:rPr>
          <w:noProof/>
          <w:lang w:eastAsia="de-DE"/>
        </w:rPr>
        <w:drawing>
          <wp:inline distT="0" distB="0" distL="0" distR="0">
            <wp:extent cx="1022747" cy="2160000"/>
            <wp:effectExtent l="19050" t="0" r="5953" b="0"/>
            <wp:docPr id="67"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1022747" cy="2160000"/>
                    </a:xfrm>
                    <a:prstGeom prst="rect">
                      <a:avLst/>
                    </a:prstGeom>
                    <a:noFill/>
                    <a:ln w="9525">
                      <a:noFill/>
                      <a:miter lim="800000"/>
                      <a:headEnd/>
                      <a:tailEnd/>
                    </a:ln>
                  </pic:spPr>
                </pic:pic>
              </a:graphicData>
            </a:graphic>
          </wp:inline>
        </w:drawing>
      </w:r>
      <w:r>
        <w:tab/>
        <w:t>2.</w:t>
      </w:r>
      <w:r w:rsidRPr="00C253B9">
        <w:t xml:space="preserve"> </w:t>
      </w:r>
      <w:r>
        <w:rPr>
          <w:noProof/>
          <w:lang w:eastAsia="de-DE"/>
        </w:rPr>
        <w:drawing>
          <wp:inline distT="0" distB="0" distL="0" distR="0">
            <wp:extent cx="1134312" cy="2160000"/>
            <wp:effectExtent l="19050" t="0" r="8688" b="0"/>
            <wp:docPr id="68"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1134312" cy="2160000"/>
                    </a:xfrm>
                    <a:prstGeom prst="rect">
                      <a:avLst/>
                    </a:prstGeom>
                    <a:noFill/>
                    <a:ln w="9525">
                      <a:noFill/>
                      <a:miter lim="800000"/>
                      <a:headEnd/>
                      <a:tailEnd/>
                    </a:ln>
                  </pic:spPr>
                </pic:pic>
              </a:graphicData>
            </a:graphic>
          </wp:inline>
        </w:drawing>
      </w:r>
    </w:p>
    <w:p w:rsidR="008411EE" w:rsidRDefault="008411EE" w:rsidP="008411EE">
      <w:pPr>
        <w:pStyle w:val="Beschriftung"/>
        <w:jc w:val="center"/>
      </w:pPr>
      <w:r>
        <w:t xml:space="preserve">Abb. </w:t>
      </w:r>
      <w:r w:rsidR="00C253B9">
        <w:t>5</w:t>
      </w:r>
      <w:r>
        <w:t xml:space="preserve"> – </w:t>
      </w:r>
      <w:r w:rsidR="00C253B9">
        <w:rPr>
          <w:noProof/>
        </w:rPr>
        <w:t xml:space="preserve">1. Wasserprobe mit Indikator-Puffer-Tablette und Ammoniak. </w:t>
      </w:r>
      <w:r>
        <w:rPr>
          <w:noProof/>
        </w:rPr>
        <w:t xml:space="preserve">2. </w:t>
      </w:r>
      <w:r w:rsidR="00C253B9">
        <w:rPr>
          <w:noProof/>
        </w:rPr>
        <w:t>Wasserprobe nach beendeter Titration</w:t>
      </w:r>
      <w:r>
        <w:rPr>
          <w:noProof/>
        </w:rPr>
        <w:t>.</w:t>
      </w:r>
    </w:p>
    <w:p w:rsidR="00362CB4" w:rsidRDefault="008411EE" w:rsidP="00362CB4">
      <w:pPr>
        <w:tabs>
          <w:tab w:val="left" w:pos="1701"/>
          <w:tab w:val="left" w:pos="1985"/>
        </w:tabs>
        <w:ind w:left="2124" w:hanging="2124"/>
      </w:pPr>
      <w:r>
        <w:t>Deutung:</w:t>
      </w:r>
      <w:r>
        <w:tab/>
      </w:r>
      <w:r>
        <w:tab/>
      </w:r>
      <w:r>
        <w:tab/>
      </w:r>
      <w:r w:rsidR="00362CB4">
        <w:t xml:space="preserve">Die rote Färbung der Lösung zeigt den </w:t>
      </w:r>
      <w:proofErr w:type="spellStart"/>
      <w:r w:rsidR="00362CB4">
        <w:t>Diammincalcium</w:t>
      </w:r>
      <w:proofErr w:type="spellEnd"/>
      <w:r w:rsidR="00362CB4">
        <w:t xml:space="preserve">-Komplex an. Bei der Zugabe von EDTA findet eine </w:t>
      </w:r>
      <w:proofErr w:type="spellStart"/>
      <w:r w:rsidR="00362CB4">
        <w:t>Ligandenaustauschreaktion</w:t>
      </w:r>
      <w:proofErr w:type="spellEnd"/>
      <w:r w:rsidR="00362CB4">
        <w:t xml:space="preserve"> zwischen dem Ammoniak und dem EDTA statt. Der Calcium-</w:t>
      </w:r>
      <w:proofErr w:type="spellStart"/>
      <w:r w:rsidR="00362CB4">
        <w:t>edta</w:t>
      </w:r>
      <w:proofErr w:type="spellEnd"/>
      <w:r w:rsidR="00362CB4">
        <w:t xml:space="preserve">-Komplex zeigt die grün-graue Färbung. </w:t>
      </w:r>
      <w:r w:rsidR="009E7754">
        <w:t xml:space="preserve">Hier muss für die Schülerinnen und Schüler stark reduziert werden, da die Vorgänge bei einer </w:t>
      </w:r>
      <w:proofErr w:type="spellStart"/>
      <w:r w:rsidR="009E7754">
        <w:t>Ligandenaustauschreaktion</w:t>
      </w:r>
      <w:proofErr w:type="spellEnd"/>
      <w:r w:rsidR="009E7754">
        <w:t xml:space="preserve"> und einer Komplexbildung zu kompliziert für diese Klassenstufe ist. </w:t>
      </w:r>
      <w:r w:rsidR="007A7941">
        <w:t>Die Reaktion wird als normale Bildung eines Produktes aus zwei Edukten b</w:t>
      </w:r>
      <w:r w:rsidR="007A7941">
        <w:t>e</w:t>
      </w:r>
      <w:r w:rsidR="007A7941">
        <w:t xml:space="preserve">handelt. </w:t>
      </w:r>
      <w:r w:rsidR="009E7754">
        <w:t xml:space="preserve">Dies ist für die Schülerinnen und Schüler einfacher, da sie mit dieser Art der Erklärung vertraut sind. </w:t>
      </w:r>
      <w:r w:rsidR="00362CB4">
        <w:t>Die Färbung wird nach eine</w:t>
      </w:r>
      <w:r w:rsidR="007A7941">
        <w:t>r</w:t>
      </w:r>
      <w:r w:rsidR="00362CB4">
        <w:t xml:space="preserve"> EDTA-Zugabe von </w:t>
      </w:r>
      <w:r w:rsidR="005E19BC">
        <w:t>30 mL erreicht.</w:t>
      </w:r>
      <w:r w:rsidR="00362CB4">
        <w:t xml:space="preserve"> Es laufen folgende Reaktionen ab:</w:t>
      </w:r>
    </w:p>
    <w:p w:rsidR="00362CB4" w:rsidRPr="00C05C0B" w:rsidRDefault="00916055" w:rsidP="00362CB4">
      <w:pPr>
        <w:tabs>
          <w:tab w:val="left" w:pos="1701"/>
          <w:tab w:val="left" w:pos="1985"/>
        </w:tabs>
        <w:ind w:left="2124" w:hanging="2124"/>
        <w:rPr>
          <w:rFonts w:eastAsiaTheme="minorEastAsia"/>
          <w:noProof/>
          <w:color w:val="auto"/>
          <w:u w:val="single"/>
        </w:rPr>
      </w:pPr>
      <w:r>
        <w:rPr>
          <w:rFonts w:eastAsiaTheme="minorEastAsia"/>
          <w:noProof/>
          <w:color w:val="FF0000"/>
        </w:rPr>
        <w:lastRenderedPageBreak/>
        <w:tab/>
      </w:r>
      <w:r>
        <w:rPr>
          <w:rFonts w:eastAsiaTheme="minorEastAsia"/>
          <w:noProof/>
          <w:color w:val="FF0000"/>
        </w:rPr>
        <w:tab/>
      </w:r>
      <w:r w:rsidR="00362CB4" w:rsidRPr="00916055">
        <w:rPr>
          <w:rFonts w:eastAsiaTheme="minorEastAsia"/>
          <w:noProof/>
          <w:color w:val="FF0000"/>
        </w:rPr>
        <w:tab/>
      </w:r>
      <w:r w:rsidRPr="00C05C0B">
        <w:rPr>
          <w:rFonts w:eastAsiaTheme="minorEastAsia"/>
          <w:noProof/>
          <w:color w:val="auto"/>
          <w:u w:val="single"/>
        </w:rPr>
        <w:t>RG:</w:t>
      </w:r>
      <w:r w:rsidRPr="00C05C0B">
        <w:rPr>
          <w:rFonts w:eastAsiaTheme="minorEastAsia"/>
          <w:noProof/>
          <w:color w:val="auto"/>
        </w:rPr>
        <w:t xml:space="preserve"> </w:t>
      </w:r>
      <w:r w:rsidR="00C05C0B" w:rsidRPr="00C05C0B">
        <w:rPr>
          <w:rFonts w:eastAsiaTheme="minorEastAsia"/>
          <w:noProof/>
          <w:color w:val="auto"/>
        </w:rPr>
        <w:t>[Ca(H</w:t>
      </w:r>
      <w:r w:rsidR="00C05C0B" w:rsidRPr="00C05C0B">
        <w:rPr>
          <w:rFonts w:eastAsiaTheme="minorEastAsia"/>
          <w:noProof/>
          <w:color w:val="auto"/>
          <w:vertAlign w:val="subscript"/>
        </w:rPr>
        <w:t>2</w:t>
      </w:r>
      <w:r w:rsidR="00C05C0B" w:rsidRPr="00C05C0B">
        <w:rPr>
          <w:rFonts w:eastAsiaTheme="minorEastAsia"/>
          <w:noProof/>
          <w:color w:val="auto"/>
        </w:rPr>
        <w:t>O)</w:t>
      </w:r>
      <w:r w:rsidR="00C05C0B" w:rsidRPr="00C05C0B">
        <w:rPr>
          <w:rFonts w:eastAsiaTheme="minorEastAsia"/>
          <w:noProof/>
          <w:color w:val="auto"/>
          <w:vertAlign w:val="subscript"/>
        </w:rPr>
        <w:t>4</w:t>
      </w:r>
      <w:r w:rsidR="00C05C0B" w:rsidRPr="00C05C0B">
        <w:rPr>
          <w:rFonts w:eastAsiaTheme="minorEastAsia"/>
          <w:noProof/>
          <w:color w:val="auto"/>
        </w:rPr>
        <w:t>]</w:t>
      </w:r>
      <w:r w:rsidR="00C05C0B" w:rsidRPr="00C05C0B">
        <w:rPr>
          <w:rFonts w:eastAsiaTheme="minorEastAsia"/>
          <w:noProof/>
          <w:color w:val="auto"/>
          <w:vertAlign w:val="superscript"/>
        </w:rPr>
        <w:t>2+</w:t>
      </w:r>
      <w:r w:rsidR="00C05C0B" w:rsidRPr="00C05C0B">
        <w:rPr>
          <w:rFonts w:eastAsiaTheme="minorEastAsia"/>
          <w:noProof/>
          <w:color w:val="auto"/>
          <w:vertAlign w:val="subscript"/>
        </w:rPr>
        <w:t>(aq)</w:t>
      </w:r>
      <w:r w:rsidR="00C05C0B" w:rsidRPr="00C05C0B">
        <w:rPr>
          <w:rFonts w:eastAsiaTheme="minorEastAsia"/>
          <w:noProof/>
          <w:color w:val="auto"/>
        </w:rPr>
        <w:t xml:space="preserve"> + H</w:t>
      </w:r>
      <w:r w:rsidR="00C05C0B" w:rsidRPr="00D77B9E">
        <w:rPr>
          <w:rFonts w:eastAsiaTheme="minorEastAsia"/>
          <w:noProof/>
          <w:color w:val="auto"/>
          <w:vertAlign w:val="subscript"/>
        </w:rPr>
        <w:t>2</w:t>
      </w:r>
      <w:r w:rsidR="00D77B9E">
        <w:rPr>
          <w:rFonts w:eastAsiaTheme="minorEastAsia"/>
          <w:noProof/>
          <w:color w:val="auto"/>
        </w:rPr>
        <w:t>EDTA</w:t>
      </w:r>
      <w:r w:rsidR="00C05C0B" w:rsidRPr="00C05C0B">
        <w:rPr>
          <w:rFonts w:eastAsiaTheme="minorEastAsia"/>
          <w:noProof/>
          <w:color w:val="auto"/>
          <w:vertAlign w:val="superscript"/>
        </w:rPr>
        <w:t>2-</w:t>
      </w:r>
      <w:r w:rsidR="00C05C0B">
        <w:rPr>
          <w:rFonts w:eastAsiaTheme="minorEastAsia"/>
          <w:noProof/>
          <w:color w:val="auto"/>
          <w:vertAlign w:val="subscript"/>
        </w:rPr>
        <w:t>(aq)</w:t>
      </w:r>
      <w:r w:rsidR="00C05C0B" w:rsidRPr="00C05C0B">
        <w:rPr>
          <w:rFonts w:eastAsiaTheme="minorEastAsia"/>
          <w:noProof/>
          <w:color w:val="auto"/>
        </w:rPr>
        <w:t xml:space="preserve"> ⇌ [Ca(</w:t>
      </w:r>
      <w:r w:rsidR="007A7941">
        <w:rPr>
          <w:rFonts w:eastAsiaTheme="minorEastAsia"/>
          <w:noProof/>
          <w:color w:val="auto"/>
        </w:rPr>
        <w:t>EDTA</w:t>
      </w:r>
      <w:r w:rsidR="00C05C0B" w:rsidRPr="00C05C0B">
        <w:rPr>
          <w:rFonts w:eastAsiaTheme="minorEastAsia"/>
          <w:noProof/>
          <w:color w:val="auto"/>
        </w:rPr>
        <w:t>)]</w:t>
      </w:r>
      <w:r w:rsidR="00C05C0B" w:rsidRPr="00C05C0B">
        <w:rPr>
          <w:rFonts w:eastAsiaTheme="minorEastAsia"/>
          <w:noProof/>
          <w:color w:val="auto"/>
          <w:vertAlign w:val="superscript"/>
        </w:rPr>
        <w:t>2-</w:t>
      </w:r>
      <w:r w:rsidR="00C05C0B" w:rsidRPr="00C05C0B">
        <w:rPr>
          <w:rFonts w:eastAsiaTheme="minorEastAsia"/>
          <w:noProof/>
          <w:color w:val="auto"/>
          <w:vertAlign w:val="subscript"/>
        </w:rPr>
        <w:t>(aq)</w:t>
      </w:r>
      <w:r w:rsidR="00C05C0B">
        <w:rPr>
          <w:rFonts w:eastAsiaTheme="minorEastAsia"/>
          <w:noProof/>
          <w:color w:val="auto"/>
        </w:rPr>
        <w:t xml:space="preserve"> + 4 H</w:t>
      </w:r>
      <w:r w:rsidR="00C05C0B" w:rsidRPr="00C05C0B">
        <w:rPr>
          <w:rFonts w:eastAsiaTheme="minorEastAsia"/>
          <w:noProof/>
          <w:color w:val="auto"/>
          <w:vertAlign w:val="subscript"/>
        </w:rPr>
        <w:t>2</w:t>
      </w:r>
      <w:r w:rsidR="00C05C0B">
        <w:rPr>
          <w:rFonts w:eastAsiaTheme="minorEastAsia"/>
          <w:noProof/>
          <w:color w:val="auto"/>
        </w:rPr>
        <w:t>O</w:t>
      </w:r>
      <w:r w:rsidR="00C05C0B" w:rsidRPr="00C05C0B">
        <w:rPr>
          <w:rFonts w:eastAsiaTheme="minorEastAsia"/>
          <w:noProof/>
          <w:color w:val="auto"/>
          <w:vertAlign w:val="subscript"/>
        </w:rPr>
        <w:t>(l)</w:t>
      </w:r>
    </w:p>
    <w:p w:rsidR="008411EE" w:rsidRDefault="005E19BC" w:rsidP="005E19BC">
      <w:pPr>
        <w:spacing w:line="276" w:lineRule="auto"/>
        <w:ind w:left="2127"/>
        <w:rPr>
          <w:rFonts w:eastAsiaTheme="minorEastAsia"/>
          <w:noProof/>
        </w:rPr>
      </w:pPr>
      <w:r>
        <w:rPr>
          <w:rFonts w:eastAsiaTheme="minorEastAsia"/>
          <w:noProof/>
        </w:rPr>
        <w:t>Für die Berechnung gilt:</w:t>
      </w:r>
    </w:p>
    <w:p w:rsidR="005E19BC" w:rsidRPr="00F67FFD" w:rsidRDefault="005E19BC" w:rsidP="005E19BC">
      <w:pPr>
        <w:spacing w:line="276" w:lineRule="auto"/>
        <w:ind w:left="2127"/>
        <w:rPr>
          <w:rFonts w:eastAsiaTheme="minorEastAsia"/>
          <w:noProof/>
        </w:rPr>
      </w:pPr>
      <w:r w:rsidRPr="00F67FFD">
        <w:rPr>
          <w:rFonts w:eastAsiaTheme="minorEastAsia"/>
          <w:noProof/>
        </w:rPr>
        <w:t>1 mL EDTA (0,01 M) = 0,5608 °dH = 0,1 mmol Ca</w:t>
      </w:r>
      <w:r w:rsidRPr="00F67FFD">
        <w:rPr>
          <w:rFonts w:eastAsiaTheme="minorEastAsia"/>
          <w:noProof/>
          <w:vertAlign w:val="superscript"/>
        </w:rPr>
        <w:t>2+</w:t>
      </w:r>
      <w:r w:rsidRPr="00F67FFD">
        <w:rPr>
          <w:rFonts w:eastAsiaTheme="minorEastAsia"/>
          <w:noProof/>
        </w:rPr>
        <w:t>/L</w:t>
      </w:r>
    </w:p>
    <w:p w:rsidR="005E19BC" w:rsidRDefault="005E19BC" w:rsidP="005E19BC">
      <w:pPr>
        <w:spacing w:line="276" w:lineRule="auto"/>
        <w:ind w:left="2127"/>
        <w:rPr>
          <w:rFonts w:eastAsiaTheme="minorEastAsia"/>
          <w:noProof/>
        </w:rPr>
      </w:pPr>
      <w:r w:rsidRPr="005E19BC">
        <w:rPr>
          <w:rFonts w:eastAsiaTheme="minorEastAsia"/>
          <w:noProof/>
        </w:rPr>
        <w:t>Da 30 m</w:t>
      </w:r>
      <w:r>
        <w:rPr>
          <w:rFonts w:eastAsiaTheme="minorEastAsia"/>
          <w:noProof/>
        </w:rPr>
        <w:t xml:space="preserve">L verbraucht wurden, liegen in der Wasserprobe 3 mmol </w:t>
      </w:r>
      <w:r w:rsidRPr="005E19BC">
        <w:rPr>
          <w:rFonts w:eastAsiaTheme="minorEastAsia"/>
          <w:noProof/>
        </w:rPr>
        <w:t>Ca</w:t>
      </w:r>
      <w:r w:rsidRPr="005E19BC">
        <w:rPr>
          <w:rFonts w:eastAsiaTheme="minorEastAsia"/>
          <w:noProof/>
          <w:vertAlign w:val="superscript"/>
        </w:rPr>
        <w:t>2+</w:t>
      </w:r>
      <w:r w:rsidRPr="005E19BC">
        <w:rPr>
          <w:rFonts w:eastAsiaTheme="minorEastAsia"/>
          <w:noProof/>
        </w:rPr>
        <w:t>/L</w:t>
      </w:r>
      <w:r>
        <w:rPr>
          <w:rFonts w:eastAsiaTheme="minorEastAsia"/>
          <w:noProof/>
        </w:rPr>
        <w:t xml:space="preserve"> vor. Dies entspricht einem Härtegrad von 16,824 °dH. somit liegt eine hart Wasserprobe vor.</w:t>
      </w:r>
      <w:r>
        <w:rPr>
          <w:rFonts w:eastAsiaTheme="minorEastAsia"/>
          <w:noProof/>
          <w:vertAlign w:val="superscript"/>
        </w:rPr>
        <w:t>[5]</w:t>
      </w:r>
    </w:p>
    <w:p w:rsidR="002E0858" w:rsidRDefault="002E0858" w:rsidP="005E19BC">
      <w:pPr>
        <w:spacing w:line="276" w:lineRule="auto"/>
        <w:ind w:left="2127"/>
        <w:rPr>
          <w:rFonts w:eastAsiaTheme="minorEastAsia"/>
          <w:noProof/>
          <w:color w:val="auto"/>
        </w:rPr>
      </w:pPr>
    </w:p>
    <w:p w:rsidR="005E19BC" w:rsidRDefault="005E19BC" w:rsidP="005E19BC">
      <w:pPr>
        <w:spacing w:line="276" w:lineRule="auto"/>
        <w:ind w:left="2127"/>
        <w:rPr>
          <w:rFonts w:eastAsiaTheme="minorEastAsia"/>
          <w:noProof/>
          <w:color w:val="auto"/>
        </w:rPr>
      </w:pPr>
      <w:r w:rsidRPr="00F53A66">
        <w:rPr>
          <w:rFonts w:eastAsiaTheme="minorEastAsia"/>
          <w:noProof/>
          <w:color w:val="auto"/>
        </w:rPr>
        <w:t>Fehlerbetrachtung</w:t>
      </w:r>
      <w:r w:rsidR="002E0858">
        <w:rPr>
          <w:rFonts w:eastAsiaTheme="minorEastAsia"/>
          <w:noProof/>
          <w:color w:val="auto"/>
        </w:rPr>
        <w:t xml:space="preserve">: </w:t>
      </w:r>
    </w:p>
    <w:p w:rsidR="002E0858" w:rsidRDefault="002E0858" w:rsidP="002E0858">
      <w:pPr>
        <w:keepNext/>
        <w:spacing w:line="276" w:lineRule="auto"/>
        <w:ind w:left="2127"/>
        <w:jc w:val="center"/>
      </w:pPr>
      <w:r>
        <w:rPr>
          <w:rFonts w:eastAsiaTheme="minorEastAsia"/>
          <w:noProof/>
          <w:color w:val="auto"/>
          <w:lang w:eastAsia="de-DE"/>
        </w:rPr>
        <w:drawing>
          <wp:inline distT="0" distB="0" distL="0" distR="0">
            <wp:extent cx="1691359" cy="1800000"/>
            <wp:effectExtent l="19050" t="0" r="4091" b="0"/>
            <wp:docPr id="11" name="Grafik 10" descr="2016-08-01 17.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1 17.29.26.jpg"/>
                    <pic:cNvPicPr/>
                  </pic:nvPicPr>
                  <pic:blipFill>
                    <a:blip r:embed="rId36" cstate="print"/>
                    <a:srcRect/>
                    <a:stretch>
                      <a:fillRect/>
                    </a:stretch>
                  </pic:blipFill>
                  <pic:spPr>
                    <a:xfrm>
                      <a:off x="0" y="0"/>
                      <a:ext cx="1691359" cy="1800000"/>
                    </a:xfrm>
                    <a:prstGeom prst="rect">
                      <a:avLst/>
                    </a:prstGeom>
                  </pic:spPr>
                </pic:pic>
              </a:graphicData>
            </a:graphic>
          </wp:inline>
        </w:drawing>
      </w:r>
    </w:p>
    <w:p w:rsidR="002E0858" w:rsidRDefault="002E0858" w:rsidP="002E0858">
      <w:pPr>
        <w:pStyle w:val="Beschriftung"/>
        <w:jc w:val="center"/>
        <w:rPr>
          <w:rFonts w:eastAsiaTheme="minorEastAsia"/>
          <w:noProof/>
        </w:rPr>
      </w:pPr>
      <w:r>
        <w:t xml:space="preserve">Abbildung 6: </w:t>
      </w:r>
      <w:proofErr w:type="spellStart"/>
      <w:r>
        <w:t>Nährwehrttabelle</w:t>
      </w:r>
      <w:proofErr w:type="spellEnd"/>
      <w:r>
        <w:t xml:space="preserve"> der verwendeten Wasserprobe.</w:t>
      </w:r>
    </w:p>
    <w:p w:rsidR="00F53A66" w:rsidRDefault="002E0858" w:rsidP="005E19BC">
      <w:pPr>
        <w:spacing w:line="276" w:lineRule="auto"/>
        <w:ind w:left="2127"/>
        <w:rPr>
          <w:rFonts w:eastAsiaTheme="minorEastAsia"/>
          <w:noProof/>
          <w:color w:val="auto"/>
        </w:rPr>
      </w:pPr>
      <w:r>
        <w:rPr>
          <w:rFonts w:eastAsiaTheme="minorEastAsia"/>
          <w:noProof/>
          <w:color w:val="auto"/>
        </w:rPr>
        <w:t>Für die Fehlerbetrachtung muss der in Abbildung 6 zu entnehmende Wert für das Caclium umgerechnet werden. So wird eine Konzentration von 11,5 mmol/L erhalten.</w:t>
      </w:r>
    </w:p>
    <w:p w:rsidR="002E0858" w:rsidRPr="002E0858" w:rsidRDefault="00D837BB" w:rsidP="002E0858">
      <w:pPr>
        <w:ind w:left="2127"/>
        <w:rPr>
          <w:rFonts w:eastAsiaTheme="minorEastAsia"/>
          <w:lang w:val="en-US"/>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r>
            <w:rPr>
              <w:rFonts w:ascii="Cambria Math" w:hAnsi="Cambria Math"/>
              <w:lang w:val="en-US"/>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Messwert</m:t>
                  </m:r>
                  <m:r>
                    <w:rPr>
                      <w:rFonts w:ascii="Cambria Math" w:hAnsi="Cambria Math"/>
                      <w:lang w:val="en-US"/>
                    </w:rPr>
                    <m:t xml:space="preserve"> </m:t>
                  </m:r>
                </m:sub>
              </m:sSub>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w:rPr>
                      <w:rFonts w:ascii="Cambria Math" w:hAnsi="Cambria Math"/>
                    </w:rPr>
                    <m:t>Literatur</m:t>
                  </m:r>
                </m:sub>
              </m:sSub>
            </m:e>
          </m:d>
          <m:r>
            <w:rPr>
              <w:rFonts w:ascii="Cambria Math" w:hAnsi="Cambria Math"/>
              <w:lang w:val="en-US"/>
            </w:rPr>
            <m:t xml:space="preserve">= </m:t>
          </m:r>
          <m:d>
            <m:dPr>
              <m:begChr m:val="|"/>
              <m:endChr m:val="|"/>
              <m:ctrlPr>
                <w:rPr>
                  <w:rFonts w:ascii="Cambria Math" w:hAnsi="Cambria Math"/>
                  <w:i/>
                </w:rPr>
              </m:ctrlPr>
            </m:dPr>
            <m:e>
              <m:r>
                <w:rPr>
                  <w:rFonts w:ascii="Cambria Math" w:hAnsi="Cambria Math"/>
                </w:rPr>
                <m:t xml:space="preserve">3 </m:t>
              </m:r>
              <m:f>
                <m:fPr>
                  <m:ctrlPr>
                    <w:rPr>
                      <w:rFonts w:ascii="Cambria Math" w:hAnsi="Cambria Math"/>
                    </w:rPr>
                  </m:ctrlPr>
                </m:fPr>
                <m:num>
                  <m:r>
                    <m:rPr>
                      <m:sty m:val="p"/>
                    </m:rPr>
                    <w:rPr>
                      <w:rFonts w:ascii="Cambria Math" w:hAnsi="Cambria Math"/>
                    </w:rPr>
                    <m:t>mmol</m:t>
                  </m:r>
                </m:num>
                <m:den>
                  <m:r>
                    <m:rPr>
                      <m:sty m:val="p"/>
                    </m:rPr>
                    <w:rPr>
                      <w:rFonts w:ascii="Cambria Math" w:hAnsi="Cambria Math"/>
                    </w:rPr>
                    <m:t>L</m:t>
                  </m:r>
                </m:den>
              </m:f>
              <m:r>
                <w:rPr>
                  <w:rFonts w:ascii="Cambria Math" w:hAnsi="Cambria Math"/>
                </w:rPr>
                <m:t xml:space="preserve">- 11,5 </m:t>
              </m:r>
              <m:f>
                <m:fPr>
                  <m:ctrlPr>
                    <w:rPr>
                      <w:rFonts w:ascii="Cambria Math" w:hAnsi="Cambria Math"/>
                    </w:rPr>
                  </m:ctrlPr>
                </m:fPr>
                <m:num>
                  <m:r>
                    <m:rPr>
                      <m:sty m:val="p"/>
                    </m:rPr>
                    <w:rPr>
                      <w:rFonts w:ascii="Cambria Math" w:hAnsi="Cambria Math"/>
                    </w:rPr>
                    <m:t>mmol</m:t>
                  </m:r>
                </m:num>
                <m:den>
                  <m:r>
                    <m:rPr>
                      <m:sty m:val="p"/>
                    </m:rPr>
                    <w:rPr>
                      <w:rFonts w:ascii="Cambria Math" w:hAnsi="Cambria Math"/>
                    </w:rPr>
                    <m:t>L</m:t>
                  </m:r>
                </m:den>
              </m:f>
              <m:r>
                <w:rPr>
                  <w:rFonts w:ascii="Cambria Math" w:hAnsi="Cambria Math"/>
                </w:rPr>
                <m:t xml:space="preserve"> </m:t>
              </m:r>
            </m:e>
          </m:d>
          <m:r>
            <w:rPr>
              <w:rFonts w:ascii="Cambria Math" w:eastAsiaTheme="minorEastAsia" w:hAnsi="Cambria Math"/>
              <w:lang w:val="en-US"/>
            </w:rPr>
            <m:t xml:space="preserve">=8,5 </m:t>
          </m:r>
          <m:f>
            <m:fPr>
              <m:ctrlPr>
                <w:rPr>
                  <w:rFonts w:ascii="Cambria Math" w:hAnsi="Cambria Math"/>
                </w:rPr>
              </m:ctrlPr>
            </m:fPr>
            <m:num>
              <m:r>
                <m:rPr>
                  <m:sty m:val="p"/>
                </m:rPr>
                <w:rPr>
                  <w:rFonts w:ascii="Cambria Math" w:hAnsi="Cambria Math"/>
                </w:rPr>
                <m:t>mmol</m:t>
              </m:r>
            </m:num>
            <m:den>
              <m:r>
                <m:rPr>
                  <m:sty m:val="p"/>
                </m:rPr>
                <w:rPr>
                  <w:rFonts w:ascii="Cambria Math" w:hAnsi="Cambria Math"/>
                </w:rPr>
                <m:t>L</m:t>
              </m:r>
            </m:den>
          </m:f>
        </m:oMath>
      </m:oMathPara>
    </w:p>
    <w:p w:rsidR="002E0858" w:rsidRPr="00AA6C94" w:rsidRDefault="00D837BB" w:rsidP="002E0858">
      <w:pPr>
        <w:ind w:left="2127"/>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rel</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num>
            <m:den>
              <m:sSub>
                <m:sSubPr>
                  <m:ctrlPr>
                    <w:rPr>
                      <w:rFonts w:ascii="Cambria Math" w:hAnsi="Cambria Math"/>
                      <w:i/>
                    </w:rPr>
                  </m:ctrlPr>
                </m:sSubPr>
                <m:e>
                  <m:r>
                    <w:rPr>
                      <w:rFonts w:ascii="Cambria Math" w:hAnsi="Cambria Math"/>
                    </w:rPr>
                    <m:t>x</m:t>
                  </m:r>
                </m:e>
                <m:sub>
                  <m:r>
                    <w:rPr>
                      <w:rFonts w:ascii="Cambria Math" w:hAnsi="Cambria Math"/>
                    </w:rPr>
                    <m:t>Literatur</m:t>
                  </m:r>
                </m:sub>
              </m:sSub>
            </m:den>
          </m:f>
          <m:r>
            <w:rPr>
              <w:rFonts w:ascii="Cambria Math" w:hAnsi="Cambria Math"/>
            </w:rPr>
            <m:t xml:space="preserve"> ∙100= </m:t>
          </m:r>
          <m:f>
            <m:fPr>
              <m:ctrlPr>
                <w:rPr>
                  <w:rFonts w:ascii="Cambria Math" w:hAnsi="Cambria Math"/>
                  <w:i/>
                </w:rPr>
              </m:ctrlPr>
            </m:fPr>
            <m:num>
              <m:r>
                <w:rPr>
                  <w:rFonts w:ascii="Cambria Math" w:hAnsi="Cambria Math"/>
                </w:rPr>
                <m:t xml:space="preserve">8,5 </m:t>
              </m:r>
              <m:f>
                <m:fPr>
                  <m:ctrlPr>
                    <w:rPr>
                      <w:rFonts w:ascii="Cambria Math" w:hAnsi="Cambria Math"/>
                    </w:rPr>
                  </m:ctrlPr>
                </m:fPr>
                <m:num>
                  <m:r>
                    <m:rPr>
                      <m:sty m:val="p"/>
                    </m:rPr>
                    <w:rPr>
                      <w:rFonts w:ascii="Cambria Math" w:hAnsi="Cambria Math"/>
                    </w:rPr>
                    <m:t>mmol</m:t>
                  </m:r>
                </m:num>
                <m:den>
                  <m:r>
                    <m:rPr>
                      <m:sty m:val="p"/>
                    </m:rPr>
                    <w:rPr>
                      <w:rFonts w:ascii="Cambria Math" w:hAnsi="Cambria Math"/>
                    </w:rPr>
                    <m:t>L</m:t>
                  </m:r>
                </m:den>
              </m:f>
            </m:num>
            <m:den>
              <m:r>
                <w:rPr>
                  <w:rFonts w:ascii="Cambria Math" w:hAnsi="Cambria Math"/>
                </w:rPr>
                <m:t xml:space="preserve">11,5 </m:t>
              </m:r>
              <m:f>
                <m:fPr>
                  <m:ctrlPr>
                    <w:rPr>
                      <w:rFonts w:ascii="Cambria Math" w:hAnsi="Cambria Math"/>
                    </w:rPr>
                  </m:ctrlPr>
                </m:fPr>
                <m:num>
                  <m:r>
                    <m:rPr>
                      <m:sty m:val="p"/>
                    </m:rPr>
                    <w:rPr>
                      <w:rFonts w:ascii="Cambria Math" w:hAnsi="Cambria Math"/>
                    </w:rPr>
                    <m:t>mmol</m:t>
                  </m:r>
                </m:num>
                <m:den>
                  <m:r>
                    <m:rPr>
                      <m:sty m:val="p"/>
                    </m:rPr>
                    <w:rPr>
                      <w:rFonts w:ascii="Cambria Math" w:hAnsi="Cambria Math"/>
                    </w:rPr>
                    <m:t>L</m:t>
                  </m:r>
                </m:den>
              </m:f>
            </m:den>
          </m:f>
          <m:r>
            <w:rPr>
              <w:rFonts w:ascii="Cambria Math" w:hAnsi="Cambria Math"/>
            </w:rPr>
            <m:t xml:space="preserve"> ∙100=73,91 %</m:t>
          </m:r>
        </m:oMath>
      </m:oMathPara>
    </w:p>
    <w:p w:rsidR="002E0858" w:rsidRPr="00F53A66" w:rsidRDefault="002E0858" w:rsidP="005E19BC">
      <w:pPr>
        <w:spacing w:line="276" w:lineRule="auto"/>
        <w:ind w:left="2127"/>
        <w:rPr>
          <w:rFonts w:eastAsiaTheme="minorEastAsia"/>
          <w:noProof/>
          <w:color w:val="auto"/>
        </w:rPr>
      </w:pPr>
    </w:p>
    <w:p w:rsidR="008411EE" w:rsidRPr="0056694B" w:rsidRDefault="008411EE" w:rsidP="008411EE">
      <w:pPr>
        <w:spacing w:line="276" w:lineRule="auto"/>
        <w:rPr>
          <w:rFonts w:eastAsiaTheme="minorEastAsia"/>
          <w:noProof/>
        </w:rPr>
      </w:pPr>
      <w:r>
        <w:t>Entsorgung:</w:t>
      </w:r>
      <w:r>
        <w:tab/>
        <w:t xml:space="preserve">           </w:t>
      </w:r>
      <w:r>
        <w:tab/>
      </w:r>
      <w:r w:rsidR="0053580F">
        <w:t>Die Lösung wird im Abfall für organische Lösungsmittel entsorgt.</w:t>
      </w:r>
      <w:r>
        <w:t xml:space="preserve"> </w:t>
      </w:r>
    </w:p>
    <w:p w:rsidR="008411EE" w:rsidRPr="005B60E3" w:rsidRDefault="008411EE" w:rsidP="0053580F">
      <w:pPr>
        <w:spacing w:line="276" w:lineRule="auto"/>
        <w:rPr>
          <w:rFonts w:asciiTheme="majorHAnsi" w:eastAsiaTheme="majorEastAsia" w:hAnsiTheme="majorHAnsi" w:cstheme="majorBidi"/>
          <w:b/>
          <w:bCs/>
          <w:sz w:val="28"/>
          <w:szCs w:val="28"/>
        </w:rPr>
      </w:pPr>
      <w:r>
        <w:t>Literatur:</w:t>
      </w:r>
      <w:r>
        <w:tab/>
      </w:r>
      <w:r>
        <w:tab/>
      </w:r>
      <w:r w:rsidR="0053580F">
        <w:rPr>
          <w:color w:val="auto"/>
        </w:rPr>
        <w:t xml:space="preserve">[5] A. Klaas, </w:t>
      </w:r>
      <w:r w:rsidR="0053580F" w:rsidRPr="0053580F">
        <w:rPr>
          <w:color w:val="auto"/>
        </w:rPr>
        <w:t>http://www.wasser.de/inhalt.pl?tin=-0856901140223307-</w:t>
      </w:r>
      <w:r w:rsidR="0053580F" w:rsidRPr="0053580F">
        <w:rPr>
          <w:color w:val="auto"/>
        </w:rPr>
        <w:tab/>
      </w:r>
      <w:r w:rsidR="0053580F" w:rsidRPr="0053580F">
        <w:rPr>
          <w:color w:val="auto"/>
        </w:rPr>
        <w:tab/>
      </w:r>
      <w:r w:rsidR="0053580F" w:rsidRPr="0053580F">
        <w:rPr>
          <w:color w:val="auto"/>
        </w:rPr>
        <w:tab/>
        <w:t>709843806547241-1469974930-79.247.250.195-</w:t>
      </w:r>
      <w:r w:rsidR="0053580F" w:rsidRPr="0053580F">
        <w:rPr>
          <w:color w:val="auto"/>
        </w:rPr>
        <w:tab/>
      </w:r>
      <w:r w:rsidR="007A7941">
        <w:rPr>
          <w:color w:val="auto"/>
        </w:rPr>
        <w:tab/>
      </w:r>
      <w:r w:rsidR="007A7941">
        <w:rPr>
          <w:color w:val="auto"/>
        </w:rPr>
        <w:tab/>
      </w:r>
      <w:r w:rsidR="007A7941">
        <w:rPr>
          <w:color w:val="auto"/>
        </w:rPr>
        <w:tab/>
      </w:r>
      <w:r w:rsidR="007A7941">
        <w:rPr>
          <w:color w:val="auto"/>
        </w:rPr>
        <w:tab/>
      </w:r>
      <w:r w:rsidR="007A7941">
        <w:rPr>
          <w:color w:val="auto"/>
        </w:rPr>
        <w:tab/>
      </w:r>
      <w:r w:rsidR="0053580F" w:rsidRPr="0053580F">
        <w:rPr>
          <w:color w:val="auto"/>
        </w:rPr>
        <w:t>&amp;achtung=&amp;</w:t>
      </w:r>
      <w:proofErr w:type="spellStart"/>
      <w:r w:rsidR="0053580F" w:rsidRPr="0053580F">
        <w:rPr>
          <w:color w:val="auto"/>
        </w:rPr>
        <w:t>kategorie</w:t>
      </w:r>
      <w:proofErr w:type="spellEnd"/>
      <w:r w:rsidR="0053580F" w:rsidRPr="0053580F">
        <w:rPr>
          <w:color w:val="auto"/>
        </w:rPr>
        <w:t>=1000009</w:t>
      </w:r>
      <w:r w:rsidR="0053580F">
        <w:rPr>
          <w:color w:val="auto"/>
        </w:rPr>
        <w:t xml:space="preserve">, 31.07.16 (Zuletzt abgerufen am </w:t>
      </w:r>
      <w:r w:rsidR="0053580F">
        <w:rPr>
          <w:color w:val="auto"/>
        </w:rPr>
        <w:tab/>
      </w:r>
      <w:r w:rsidR="0053580F">
        <w:rPr>
          <w:color w:val="auto"/>
        </w:rPr>
        <w:tab/>
      </w:r>
      <w:r w:rsidR="0053580F">
        <w:rPr>
          <w:color w:val="auto"/>
        </w:rPr>
        <w:tab/>
      </w:r>
      <w:r w:rsidR="0053580F">
        <w:rPr>
          <w:color w:val="auto"/>
        </w:rPr>
        <w:tab/>
        <w:t>31.07.16 um 16:24 Uhr).</w:t>
      </w:r>
    </w:p>
    <w:p w:rsidR="008411EE" w:rsidRDefault="008411EE" w:rsidP="008411EE">
      <w:pPr>
        <w:tabs>
          <w:tab w:val="left" w:pos="1701"/>
          <w:tab w:val="left" w:pos="1985"/>
        </w:tabs>
        <w:ind w:left="1980" w:hanging="1980"/>
      </w:pPr>
    </w:p>
    <w:p w:rsidR="00A0582F" w:rsidRPr="00EB0C1A" w:rsidRDefault="00D837BB" w:rsidP="00573704">
      <w:pPr>
        <w:tabs>
          <w:tab w:val="left" w:pos="1701"/>
          <w:tab w:val="left" w:pos="1985"/>
        </w:tabs>
        <w:ind w:left="1980" w:hanging="1980"/>
      </w:pPr>
      <w:r>
        <w:pict>
          <v:shape id="_x0000_s1165" type="#_x0000_t202" style="width:462.45pt;height:215.3pt;mso-position-horizontal-relative:char;mso-position-vertical-relative:line;mso-width-relative:margin;mso-height-relative:margin" fillcolor="white [3201]" strokecolor="#c0504d [3205]" strokeweight="1pt">
            <v:stroke dashstyle="dash"/>
            <v:shadow color="#868686"/>
            <v:textbox style="mso-next-textbox:#_x0000_s1165">
              <w:txbxContent>
                <w:p w:rsidR="00777888" w:rsidRPr="00F31EBF" w:rsidRDefault="00777888" w:rsidP="008411EE">
                  <w:pPr>
                    <w:rPr>
                      <w:color w:val="auto"/>
                    </w:rPr>
                  </w:pPr>
                  <w:r w:rsidRPr="00F31EBF">
                    <w:rPr>
                      <w:b/>
                      <w:color w:val="auto"/>
                    </w:rPr>
                    <w:t xml:space="preserve">Unterrichtsanschlüsse </w:t>
                  </w:r>
                  <w:r>
                    <w:rPr>
                      <w:color w:val="auto"/>
                    </w:rPr>
                    <w:t>Dieser Versuch zeigt eine weitere Möglichkeit Titrationen zur B</w:t>
                  </w:r>
                  <w:r>
                    <w:rPr>
                      <w:color w:val="auto"/>
                    </w:rPr>
                    <w:t>e</w:t>
                  </w:r>
                  <w:r>
                    <w:rPr>
                      <w:color w:val="auto"/>
                    </w:rPr>
                    <w:t>stimmung eines Stoffes vor zunehmen. Für diesen Versuch ist es wichtig, dass eine EDTA-Konzentration von 0,01 M verwendet wird, da sonst die oben dargestellte Gesetzmäßigkeit nicht gültig ist. Da im Vergleich zu einer 0,1 M Lösung diese um das zehnfache verdünnt ist, hebt sich dies bei der Titrationsauswertung auf und die Gesetzmäßigkeit gilt. Die Schülerinnen und Schüler sollten im Vorfeld auf die Gefahren bei der Ammoniak-Verwendung hingewiesen werden, damit eine sichere und keine fahrlässige Handhabung erfolgt. Eine Alternative wäre, dass es verschiedene Wasserproben anstelle von nur einer untersucht werden. In der Auswe</w:t>
                  </w:r>
                  <w:r>
                    <w:rPr>
                      <w:color w:val="auto"/>
                    </w:rPr>
                    <w:t>r</w:t>
                  </w:r>
                  <w:r>
                    <w:rPr>
                      <w:color w:val="auto"/>
                    </w:rPr>
                    <w:t>tung können diese untereinander verglichen werden. Oft bieten sich auch Leitungswasserpr</w:t>
                  </w:r>
                  <w:r>
                    <w:rPr>
                      <w:color w:val="auto"/>
                    </w:rPr>
                    <w:t>o</w:t>
                  </w:r>
                  <w:r>
                    <w:rPr>
                      <w:color w:val="auto"/>
                    </w:rPr>
                    <w:t>ben aus verschiedenen Regionen an. Dafür müssen aber die Wasserbestandteile mit den en</w:t>
                  </w:r>
                  <w:r>
                    <w:rPr>
                      <w:color w:val="auto"/>
                    </w:rPr>
                    <w:t>t</w:t>
                  </w:r>
                  <w:r>
                    <w:rPr>
                      <w:color w:val="auto"/>
                    </w:rPr>
                    <w:t>sprechenden Werten bekannt sein.</w:t>
                  </w:r>
                </w:p>
              </w:txbxContent>
            </v:textbox>
            <w10:wrap type="none"/>
            <w10:anchorlock/>
          </v:shape>
        </w:pict>
      </w:r>
    </w:p>
    <w:p w:rsidR="00A0582F" w:rsidRPr="00F74A95" w:rsidRDefault="00A0582F" w:rsidP="00A0582F">
      <w:pPr>
        <w:rPr>
          <w:color w:val="1F497D" w:themeColor="text2"/>
        </w:rPr>
        <w:sectPr w:rsidR="00A0582F" w:rsidRPr="00F74A95" w:rsidSect="0007729E">
          <w:pgSz w:w="11906" w:h="16838"/>
          <w:pgMar w:top="1417" w:right="1417" w:bottom="709" w:left="1417" w:header="708" w:footer="708" w:gutter="0"/>
          <w:pgNumType w:start="0"/>
          <w:cols w:space="708"/>
          <w:titlePg/>
          <w:docGrid w:linePitch="360"/>
        </w:sectPr>
      </w:pPr>
    </w:p>
    <w:p w:rsidR="00A0582F" w:rsidRDefault="009558BE" w:rsidP="00A0582F">
      <w:pPr>
        <w:tabs>
          <w:tab w:val="left" w:pos="1701"/>
          <w:tab w:val="left" w:pos="1985"/>
        </w:tabs>
        <w:rPr>
          <w:b/>
          <w:sz w:val="28"/>
        </w:rPr>
      </w:pPr>
      <w:r>
        <w:rPr>
          <w:b/>
          <w:sz w:val="28"/>
        </w:rPr>
        <w:lastRenderedPageBreak/>
        <w:t>Mehrprotonige Säuren; als Beispiel Cola</w:t>
      </w:r>
    </w:p>
    <w:p w:rsidR="009558BE" w:rsidRDefault="00203E23" w:rsidP="00A0582F">
      <w:pPr>
        <w:rPr>
          <w:color w:val="auto"/>
          <w:u w:val="single"/>
        </w:rPr>
      </w:pPr>
      <w:r>
        <w:rPr>
          <w:color w:val="auto"/>
          <w:u w:val="single"/>
        </w:rPr>
        <w:t>Arbeitsauftrag:</w:t>
      </w:r>
    </w:p>
    <w:p w:rsidR="00203E23" w:rsidRDefault="007B4BAE" w:rsidP="00A0582F">
      <w:pPr>
        <w:rPr>
          <w:color w:val="auto"/>
        </w:rPr>
      </w:pPr>
      <w:r>
        <w:rPr>
          <w:noProof/>
          <w:color w:val="auto"/>
          <w:lang w:eastAsia="de-DE"/>
        </w:rPr>
        <w:drawing>
          <wp:anchor distT="0" distB="0" distL="114300" distR="114300" simplePos="0" relativeHeight="251795456" behindDoc="0" locked="0" layoutInCell="1" allowOverlap="1">
            <wp:simplePos x="0" y="0"/>
            <wp:positionH relativeFrom="margin">
              <wp:align>right</wp:align>
            </wp:positionH>
            <wp:positionV relativeFrom="margin">
              <wp:align>top</wp:align>
            </wp:positionV>
            <wp:extent cx="1285240" cy="2760345"/>
            <wp:effectExtent l="19050" t="0" r="0" b="0"/>
            <wp:wrapSquare wrapText="bothSides"/>
            <wp:docPr id="69"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285240" cy="2760345"/>
                    </a:xfrm>
                    <a:prstGeom prst="rect">
                      <a:avLst/>
                    </a:prstGeom>
                    <a:noFill/>
                    <a:ln w="9525">
                      <a:noFill/>
                      <a:miter lim="800000"/>
                      <a:headEnd/>
                      <a:tailEnd/>
                    </a:ln>
                  </pic:spPr>
                </pic:pic>
              </a:graphicData>
            </a:graphic>
          </wp:anchor>
        </w:drawing>
      </w:r>
      <w:r w:rsidR="00203E23">
        <w:rPr>
          <w:color w:val="auto"/>
        </w:rPr>
        <w:t>Führe den nachstehenden Versuch ‚Titration von Cola‘ gemäß der Durchführung durch und n</w:t>
      </w:r>
      <w:r w:rsidR="00203E23">
        <w:rPr>
          <w:color w:val="auto"/>
        </w:rPr>
        <w:t>o</w:t>
      </w:r>
      <w:r w:rsidR="00203E23">
        <w:rPr>
          <w:color w:val="auto"/>
        </w:rPr>
        <w:t>tiere deine Messwerte:</w:t>
      </w:r>
    </w:p>
    <w:p w:rsidR="00203E23" w:rsidRDefault="00203E23" w:rsidP="00203E23">
      <w:pPr>
        <w:tabs>
          <w:tab w:val="left" w:pos="1701"/>
          <w:tab w:val="left" w:pos="1985"/>
        </w:tabs>
        <w:ind w:left="1980" w:hanging="1980"/>
      </w:pPr>
      <w:r>
        <w:t xml:space="preserve">Materialien: </w:t>
      </w:r>
      <w:r>
        <w:tab/>
      </w:r>
      <w:r>
        <w:tab/>
        <w:t>2 Bechergläser (230 mL), Bürette, Magnetrührer, Trichter, Rührschwein, Pipette, Stativ, Muffe, pH-Meter</w:t>
      </w:r>
    </w:p>
    <w:p w:rsidR="00203E23" w:rsidRPr="00ED07C2" w:rsidRDefault="00D837BB" w:rsidP="00203E23">
      <w:pPr>
        <w:tabs>
          <w:tab w:val="left" w:pos="1701"/>
          <w:tab w:val="left" w:pos="1985"/>
        </w:tabs>
        <w:ind w:left="1980" w:hanging="1980"/>
      </w:pPr>
      <w:r>
        <w:rPr>
          <w:noProof/>
        </w:rPr>
        <w:pict>
          <v:shape id="_x0000_s1164" type="#_x0000_t202" style="position:absolute;left:0;text-align:left;margin-left:351.65pt;margin-top:126.35pt;width:101.45pt;height:.05pt;z-index:251797504" stroked="f">
            <v:textbox style="mso-fit-shape-to-text:t" inset="0,0,0,0">
              <w:txbxContent>
                <w:p w:rsidR="00777888" w:rsidRPr="009418AD" w:rsidRDefault="00777888" w:rsidP="00203E23">
                  <w:pPr>
                    <w:pStyle w:val="Beschriftung"/>
                    <w:rPr>
                      <w:color w:val="1D1B11" w:themeColor="background2" w:themeShade="1A"/>
                    </w:rPr>
                  </w:pPr>
                  <w:r>
                    <w:t>Abbildung: Versuchsau</w:t>
                  </w:r>
                  <w:r>
                    <w:t>f</w:t>
                  </w:r>
                  <w:r>
                    <w:t>bau zur Cola-Titration.</w:t>
                  </w:r>
                </w:p>
              </w:txbxContent>
            </v:textbox>
            <w10:wrap type="square"/>
          </v:shape>
        </w:pict>
      </w:r>
      <w:r w:rsidR="00203E23">
        <w:t>Chemikalien:</w:t>
      </w:r>
      <w:r w:rsidR="00203E23">
        <w:tab/>
      </w:r>
      <w:r w:rsidR="00203E23">
        <w:tab/>
        <w:t>Cola, Natronlauge (0,1 M)</w:t>
      </w:r>
    </w:p>
    <w:p w:rsidR="00203E23" w:rsidRDefault="00203E23" w:rsidP="00203E23">
      <w:pPr>
        <w:tabs>
          <w:tab w:val="left" w:pos="1701"/>
          <w:tab w:val="left" w:pos="1985"/>
        </w:tabs>
        <w:ind w:left="1980" w:hanging="1980"/>
      </w:pPr>
      <w:r>
        <w:t xml:space="preserve">Durchführung: </w:t>
      </w:r>
      <w:r>
        <w:tab/>
      </w:r>
      <w:r>
        <w:tab/>
      </w:r>
      <w:r>
        <w:tab/>
        <w:t>150 mL Cola werden in ein Becherglas mit einem Magnetrührer solange gerührt und aufgekocht, bis kein Schäumen mehr zu beobachten ist. Anschließend werden 100 ml der Cola in ein anderes B</w:t>
      </w:r>
      <w:r>
        <w:t>e</w:t>
      </w:r>
      <w:r>
        <w:t>cherglas geschüttet. Die Bürette wird mithilfe des Trichters mit Natronla</w:t>
      </w:r>
      <w:r>
        <w:t>u</w:t>
      </w:r>
      <w:r>
        <w:t>ge befüllt und der Flüssigkeitsstand wird abgelesen. Danach wird die Cola mit der Natronlauge titriert und der pH-Wert der Lösung wird mittels pH-Meter detektiert und ko</w:t>
      </w:r>
      <w:r>
        <w:t>n</w:t>
      </w:r>
      <w:r>
        <w:t>tinuierlich notiert. Fertige dazu eine Tabelle an.</w:t>
      </w:r>
    </w:p>
    <w:p w:rsidR="00203E23" w:rsidRDefault="003D70AB" w:rsidP="00A0582F">
      <w:pPr>
        <w:rPr>
          <w:b/>
          <w:color w:val="auto"/>
          <w:u w:val="single"/>
        </w:rPr>
      </w:pPr>
      <w:r>
        <w:rPr>
          <w:b/>
          <w:color w:val="auto"/>
          <w:u w:val="single"/>
        </w:rPr>
        <w:t>Aufgaben:</w:t>
      </w:r>
    </w:p>
    <w:p w:rsidR="003D70AB" w:rsidRDefault="003D70AB" w:rsidP="00A0582F">
      <w:pPr>
        <w:rPr>
          <w:color w:val="auto"/>
        </w:rPr>
      </w:pPr>
      <w:r w:rsidRPr="003D70AB">
        <w:rPr>
          <w:b/>
          <w:color w:val="auto"/>
        </w:rPr>
        <w:t>1.</w:t>
      </w:r>
      <w:r w:rsidR="008B457A">
        <w:rPr>
          <w:b/>
          <w:color w:val="auto"/>
        </w:rPr>
        <w:t xml:space="preserve"> </w:t>
      </w:r>
      <w:r>
        <w:rPr>
          <w:color w:val="auto"/>
        </w:rPr>
        <w:t>Stelle deine Messwerte graphisch dar</w:t>
      </w:r>
      <w:r w:rsidR="00E82760">
        <w:rPr>
          <w:color w:val="auto"/>
        </w:rPr>
        <w:t xml:space="preserve"> und benenne Auffälligkeiten, falls diese vorhanden sind.</w:t>
      </w:r>
    </w:p>
    <w:p w:rsidR="003D70AB" w:rsidRDefault="003D70AB" w:rsidP="00A0582F">
      <w:pPr>
        <w:rPr>
          <w:color w:val="auto"/>
        </w:rPr>
      </w:pPr>
      <w:r w:rsidRPr="003D70AB">
        <w:rPr>
          <w:b/>
          <w:color w:val="auto"/>
        </w:rPr>
        <w:t>2.</w:t>
      </w:r>
      <w:r w:rsidR="008B457A">
        <w:rPr>
          <w:b/>
          <w:color w:val="auto"/>
        </w:rPr>
        <w:t xml:space="preserve"> </w:t>
      </w:r>
      <w:r w:rsidR="00C6327F">
        <w:rPr>
          <w:color w:val="auto"/>
        </w:rPr>
        <w:t>Formuliere</w:t>
      </w:r>
      <w:r w:rsidR="002A344C">
        <w:rPr>
          <w:color w:val="auto"/>
        </w:rPr>
        <w:t xml:space="preserve"> die einzelnen Protolysegleichgewichte der Phosphorsäure und bestimme mithilfe der Drei-Geraden-Methode die </w:t>
      </w:r>
      <w:r w:rsidR="008B457A">
        <w:rPr>
          <w:color w:val="auto"/>
        </w:rPr>
        <w:t>Äquivalenzpunkte</w:t>
      </w:r>
      <w:r w:rsidR="002A344C">
        <w:rPr>
          <w:color w:val="auto"/>
        </w:rPr>
        <w:t>.</w:t>
      </w:r>
      <w:r w:rsidR="00E82760">
        <w:rPr>
          <w:color w:val="auto"/>
        </w:rPr>
        <w:t xml:space="preserve"> Berechne außerdem den Phosphor</w:t>
      </w:r>
      <w:r w:rsidR="008B457A">
        <w:rPr>
          <w:color w:val="auto"/>
        </w:rPr>
        <w:t>säure-Gehalt in der Cola.</w:t>
      </w:r>
    </w:p>
    <w:p w:rsidR="00F4558B" w:rsidRPr="00F4558B" w:rsidRDefault="00F4558B" w:rsidP="006966EA">
      <w:pPr>
        <w:rPr>
          <w:color w:val="auto"/>
        </w:rPr>
      </w:pPr>
      <w:r>
        <w:rPr>
          <w:b/>
          <w:color w:val="auto"/>
        </w:rPr>
        <w:t>3.</w:t>
      </w:r>
      <w:r>
        <w:rPr>
          <w:color w:val="auto"/>
        </w:rPr>
        <w:t xml:space="preserve"> Be</w:t>
      </w:r>
      <w:r w:rsidR="00937024">
        <w:rPr>
          <w:color w:val="auto"/>
        </w:rPr>
        <w:t>urteile</w:t>
      </w:r>
      <w:r>
        <w:rPr>
          <w:color w:val="auto"/>
        </w:rPr>
        <w:t xml:space="preserve"> deine </w:t>
      </w:r>
      <w:r w:rsidR="00937024">
        <w:rPr>
          <w:color w:val="auto"/>
        </w:rPr>
        <w:t>berechneten</w:t>
      </w:r>
      <w:r>
        <w:rPr>
          <w:color w:val="auto"/>
        </w:rPr>
        <w:t xml:space="preserve"> Werte </w:t>
      </w:r>
      <w:r w:rsidR="00937024">
        <w:rPr>
          <w:color w:val="auto"/>
        </w:rPr>
        <w:t xml:space="preserve">in Hinblick auf </w:t>
      </w:r>
      <w:r w:rsidR="00B93F89">
        <w:rPr>
          <w:color w:val="auto"/>
        </w:rPr>
        <w:t>die nach</w:t>
      </w:r>
      <w:r w:rsidR="00937024">
        <w:rPr>
          <w:color w:val="auto"/>
        </w:rPr>
        <w:t>folgende</w:t>
      </w:r>
      <w:r w:rsidR="00073D14">
        <w:rPr>
          <w:color w:val="auto"/>
        </w:rPr>
        <w:t>n</w:t>
      </w:r>
      <w:r w:rsidR="00937024">
        <w:rPr>
          <w:color w:val="auto"/>
        </w:rPr>
        <w:t xml:space="preserve"> Angaben.</w:t>
      </w:r>
    </w:p>
    <w:p w:rsidR="00B93F89" w:rsidRPr="00B93F89" w:rsidRDefault="00B93F89" w:rsidP="006966EA">
      <w:pPr>
        <w:pStyle w:val="contentbody"/>
        <w:jc w:val="both"/>
        <w:rPr>
          <w:rFonts w:asciiTheme="majorHAnsi" w:hAnsiTheme="majorHAnsi"/>
          <w:sz w:val="22"/>
        </w:rPr>
      </w:pPr>
      <w:r w:rsidRPr="00B93F89">
        <w:rPr>
          <w:rFonts w:asciiTheme="majorHAnsi" w:hAnsiTheme="majorHAnsi"/>
          <w:sz w:val="22"/>
        </w:rPr>
        <w:t>Phosphorsäure ist unter Einhaltung bestimmter Höchstmengen für einige Lebensmittel zugela</w:t>
      </w:r>
      <w:r w:rsidRPr="00B93F89">
        <w:rPr>
          <w:rFonts w:asciiTheme="majorHAnsi" w:hAnsiTheme="majorHAnsi"/>
          <w:sz w:val="22"/>
        </w:rPr>
        <w:t>s</w:t>
      </w:r>
      <w:r w:rsidRPr="00B93F89">
        <w:rPr>
          <w:rFonts w:asciiTheme="majorHAnsi" w:hAnsiTheme="majorHAnsi"/>
          <w:sz w:val="22"/>
        </w:rPr>
        <w:t>sen. Die Zulassungen gelten größtenteils auch für die Phosphate, die deutlich häufiger angewe</w:t>
      </w:r>
      <w:r w:rsidRPr="00B93F89">
        <w:rPr>
          <w:rFonts w:asciiTheme="majorHAnsi" w:hAnsiTheme="majorHAnsi"/>
          <w:sz w:val="22"/>
        </w:rPr>
        <w:t>n</w:t>
      </w:r>
      <w:r w:rsidRPr="00B93F89">
        <w:rPr>
          <w:rFonts w:asciiTheme="majorHAnsi" w:hAnsiTheme="majorHAnsi"/>
          <w:sz w:val="22"/>
        </w:rPr>
        <w:t>det werden. Phosphorsäure ist unter anderem zugelassen für:</w:t>
      </w:r>
    </w:p>
    <w:p w:rsidR="00B93F89" w:rsidRPr="00B93F89" w:rsidRDefault="00B93F89" w:rsidP="006966EA">
      <w:pPr>
        <w:pStyle w:val="contentbody"/>
        <w:numPr>
          <w:ilvl w:val="0"/>
          <w:numId w:val="28"/>
        </w:numPr>
        <w:jc w:val="both"/>
        <w:rPr>
          <w:rFonts w:asciiTheme="majorHAnsi" w:hAnsiTheme="majorHAnsi"/>
          <w:sz w:val="22"/>
        </w:rPr>
      </w:pPr>
      <w:r w:rsidRPr="00B93F89">
        <w:rPr>
          <w:rFonts w:asciiTheme="majorHAnsi" w:hAnsiTheme="majorHAnsi"/>
          <w:sz w:val="22"/>
        </w:rPr>
        <w:t>Erfrischungsgetränke, insbesondere Cola-Getränken (max. 700 mg/l)</w:t>
      </w:r>
    </w:p>
    <w:p w:rsidR="00B93F89" w:rsidRPr="00B93F89" w:rsidRDefault="00B93F89" w:rsidP="006966EA">
      <w:pPr>
        <w:pStyle w:val="contentbody"/>
        <w:numPr>
          <w:ilvl w:val="0"/>
          <w:numId w:val="28"/>
        </w:numPr>
        <w:jc w:val="both"/>
        <w:rPr>
          <w:rFonts w:asciiTheme="majorHAnsi" w:hAnsiTheme="majorHAnsi"/>
          <w:sz w:val="22"/>
        </w:rPr>
      </w:pPr>
      <w:r w:rsidRPr="00B93F89">
        <w:rPr>
          <w:rFonts w:asciiTheme="majorHAnsi" w:hAnsiTheme="majorHAnsi"/>
          <w:sz w:val="22"/>
        </w:rPr>
        <w:t>Sportlergetränke (max. 0,5 g/l)</w:t>
      </w:r>
    </w:p>
    <w:p w:rsidR="00B93F89" w:rsidRPr="00B93F89" w:rsidRDefault="00B93F89" w:rsidP="006966EA">
      <w:pPr>
        <w:pStyle w:val="contentbody"/>
        <w:numPr>
          <w:ilvl w:val="0"/>
          <w:numId w:val="28"/>
        </w:numPr>
        <w:jc w:val="both"/>
        <w:rPr>
          <w:rFonts w:asciiTheme="majorHAnsi" w:hAnsiTheme="majorHAnsi"/>
          <w:sz w:val="22"/>
        </w:rPr>
      </w:pPr>
      <w:r w:rsidRPr="00B93F89">
        <w:rPr>
          <w:rFonts w:asciiTheme="majorHAnsi" w:hAnsiTheme="majorHAnsi"/>
          <w:sz w:val="22"/>
        </w:rPr>
        <w:t>Schlagsahne und Sahneerzeugnisse (max. 5 g/kg)</w:t>
      </w:r>
    </w:p>
    <w:p w:rsidR="00B93F89" w:rsidRPr="00B93F89" w:rsidRDefault="00B93F89" w:rsidP="006966EA">
      <w:pPr>
        <w:pStyle w:val="contentbody"/>
        <w:numPr>
          <w:ilvl w:val="0"/>
          <w:numId w:val="28"/>
        </w:numPr>
        <w:jc w:val="both"/>
        <w:rPr>
          <w:rFonts w:asciiTheme="majorHAnsi" w:hAnsiTheme="majorHAnsi"/>
          <w:sz w:val="22"/>
        </w:rPr>
      </w:pPr>
      <w:r w:rsidRPr="00B93F89">
        <w:rPr>
          <w:rFonts w:asciiTheme="majorHAnsi" w:hAnsiTheme="majorHAnsi"/>
          <w:sz w:val="22"/>
        </w:rPr>
        <w:t>Milchgetränke (je nach Fettgehalt max. 1 - 1,5 g/kg)</w:t>
      </w:r>
    </w:p>
    <w:p w:rsidR="00B93F89" w:rsidRPr="00B93F89" w:rsidRDefault="00B93F89" w:rsidP="006966EA">
      <w:pPr>
        <w:pStyle w:val="contentbody"/>
        <w:numPr>
          <w:ilvl w:val="0"/>
          <w:numId w:val="28"/>
        </w:numPr>
        <w:jc w:val="both"/>
        <w:rPr>
          <w:rFonts w:asciiTheme="majorHAnsi" w:hAnsiTheme="majorHAnsi"/>
          <w:sz w:val="22"/>
        </w:rPr>
      </w:pPr>
      <w:r w:rsidRPr="00B93F89">
        <w:rPr>
          <w:rFonts w:asciiTheme="majorHAnsi" w:hAnsiTheme="majorHAnsi"/>
          <w:sz w:val="22"/>
        </w:rPr>
        <w:t>Milchpulver und Kaffeeweißer (max. 2,5 g/kg bzw. 30 g/kg)</w:t>
      </w:r>
    </w:p>
    <w:p w:rsidR="00A0582F" w:rsidRPr="005240FE" w:rsidRDefault="00A0582F" w:rsidP="00A0582F">
      <w:pPr>
        <w:sectPr w:rsidR="00A0582F" w:rsidRPr="005240FE" w:rsidSect="0049087A">
          <w:headerReference w:type="default" r:id="rId38"/>
          <w:pgSz w:w="11906" w:h="16838"/>
          <w:pgMar w:top="1417" w:right="1417" w:bottom="709" w:left="1417" w:header="708" w:footer="708" w:gutter="0"/>
          <w:pgNumType w:start="0"/>
          <w:cols w:space="708"/>
          <w:docGrid w:linePitch="360"/>
        </w:sectPr>
      </w:pPr>
      <w:r>
        <w:t xml:space="preserve"> </w:t>
      </w:r>
    </w:p>
    <w:p w:rsidR="00FB3D74" w:rsidRPr="00E54798" w:rsidRDefault="00FA486B" w:rsidP="00AA612B">
      <w:pPr>
        <w:pStyle w:val="berschrift1"/>
        <w:rPr>
          <w:color w:val="auto"/>
        </w:rPr>
      </w:pPr>
      <w:bookmarkStart w:id="11" w:name="_Toc457758477"/>
      <w:r>
        <w:rPr>
          <w:color w:val="auto"/>
        </w:rPr>
        <w:lastRenderedPageBreak/>
        <w:t xml:space="preserve">Didaktischer Kommentar zum Schülerarbeitsblatt </w:t>
      </w:r>
      <w:bookmarkEnd w:id="11"/>
    </w:p>
    <w:p w:rsidR="00B901F6" w:rsidRPr="00E54798" w:rsidRDefault="0013576E" w:rsidP="00B901F6">
      <w:pPr>
        <w:rPr>
          <w:color w:val="auto"/>
        </w:rPr>
      </w:pPr>
      <w:r>
        <w:rPr>
          <w:color w:val="auto"/>
        </w:rPr>
        <w:t>In diesem Arbeitsblatt wird die Experimentierfertigkeit der Schülerinne und Schüler geschult, da sie einen Versuch gemäß der Anleitung durchführen müssen.</w:t>
      </w:r>
      <w:r w:rsidR="007B4BAE">
        <w:rPr>
          <w:color w:val="auto"/>
        </w:rPr>
        <w:t xml:space="preserve"> Für die richtige Durchführung des Versuchs sind gute motorische Fähigkeiten </w:t>
      </w:r>
      <w:r w:rsidR="007A7941">
        <w:rPr>
          <w:color w:val="auto"/>
        </w:rPr>
        <w:t>bei der</w:t>
      </w:r>
      <w:r w:rsidR="00E670D3">
        <w:rPr>
          <w:color w:val="auto"/>
        </w:rPr>
        <w:t xml:space="preserve"> </w:t>
      </w:r>
      <w:r w:rsidR="007B4BAE">
        <w:rPr>
          <w:color w:val="auto"/>
        </w:rPr>
        <w:t>Titration gefragt, sowie ein gutes Auge beim Ablesen des Flüssigkeitsstandes in der Bürette.</w:t>
      </w:r>
      <w:r>
        <w:rPr>
          <w:color w:val="auto"/>
        </w:rPr>
        <w:t xml:space="preserve"> Des Weiteren wird die Kommunikation geschult, da sich die Schülerinnen und Schüler in Kleingruppen organisieren müssen und arbeitsteilig arbeiten</w:t>
      </w:r>
      <w:r w:rsidR="00E82760">
        <w:rPr>
          <w:color w:val="auto"/>
        </w:rPr>
        <w:t>.</w:t>
      </w:r>
    </w:p>
    <w:p w:rsidR="00C364B2" w:rsidRDefault="00C364B2" w:rsidP="00C364B2">
      <w:pPr>
        <w:pStyle w:val="berschrift2"/>
        <w:rPr>
          <w:color w:val="auto"/>
        </w:rPr>
      </w:pPr>
      <w:bookmarkStart w:id="12" w:name="_Toc457758478"/>
      <w:r w:rsidRPr="00E54798">
        <w:rPr>
          <w:color w:val="auto"/>
        </w:rPr>
        <w:t>Erwartungshorizont</w:t>
      </w:r>
      <w:r w:rsidR="006968E6" w:rsidRPr="00E54798">
        <w:rPr>
          <w:color w:val="auto"/>
        </w:rPr>
        <w:t xml:space="preserve"> (Kerncurriculum)</w:t>
      </w:r>
      <w:bookmarkEnd w:id="12"/>
    </w:p>
    <w:p w:rsidR="0013576E" w:rsidRDefault="0013576E" w:rsidP="0013576E">
      <w:r>
        <w:t>In der ersten Aufgabe sollen die Schülerinnen und Schüler ihre Messwerte graphisch auftragen und somit eine Titrationskurve erstellen. Diese Aufgabe fällt in den Anforderungsbereich I, weil die Schülerinnen und Schüler ihre Messwerte strukturiert wiedergeben und nur die Auffälligke</w:t>
      </w:r>
      <w:r>
        <w:t>i</w:t>
      </w:r>
      <w:r>
        <w:t xml:space="preserve">ten der Titrationskurve benennen sollen. Für die Bearbeitung der Aufgabe ist kein fachliches Vorwissen über </w:t>
      </w:r>
      <w:proofErr w:type="spellStart"/>
      <w:r>
        <w:t>ÄP´s</w:t>
      </w:r>
      <w:proofErr w:type="spellEnd"/>
      <w:r>
        <w:t xml:space="preserve"> und </w:t>
      </w:r>
      <w:proofErr w:type="spellStart"/>
      <w:r>
        <w:t>HÄP´s</w:t>
      </w:r>
      <w:proofErr w:type="spellEnd"/>
      <w:r>
        <w:t xml:space="preserve"> nötig.</w:t>
      </w:r>
      <w:r w:rsidR="00825C2E">
        <w:t xml:space="preserve"> Im Kerncurriculum wird als Kompetenz von den Schül</w:t>
      </w:r>
      <w:r w:rsidR="00825C2E">
        <w:t>e</w:t>
      </w:r>
      <w:r w:rsidR="00825C2E">
        <w:t xml:space="preserve">rinnen und Schüler erwartet, dass sie Titrationskurven </w:t>
      </w:r>
      <w:proofErr w:type="spellStart"/>
      <w:r w:rsidR="00825C2E">
        <w:t>einprotoniger</w:t>
      </w:r>
      <w:proofErr w:type="spellEnd"/>
      <w:r w:rsidR="00825C2E">
        <w:t xml:space="preserve"> Säuren messen und au</w:t>
      </w:r>
      <w:r w:rsidR="00825C2E">
        <w:t>f</w:t>
      </w:r>
      <w:r w:rsidR="00825C2E">
        <w:t>tragen können. Diese Aufgabe stellt eine Erweiterung dar, da hier eine mehrprotonige Säure titriert wird</w:t>
      </w:r>
      <w:r w:rsidR="007A7941">
        <w:t xml:space="preserve">, deren </w:t>
      </w:r>
      <w:proofErr w:type="spellStart"/>
      <w:r w:rsidR="007A7941">
        <w:t>pK</w:t>
      </w:r>
      <w:r w:rsidR="00253364" w:rsidRPr="00253364">
        <w:rPr>
          <w:vertAlign w:val="subscript"/>
        </w:rPr>
        <w:t>S</w:t>
      </w:r>
      <w:proofErr w:type="spellEnd"/>
      <w:r w:rsidR="007A7941">
        <w:t>-Werte jedoch weit auseinander liegen</w:t>
      </w:r>
      <w:r w:rsidR="00825C2E">
        <w:t>. Dies ist nicht explizit im Kerncu</w:t>
      </w:r>
      <w:r w:rsidR="00825C2E">
        <w:t>r</w:t>
      </w:r>
      <w:r w:rsidR="00825C2E">
        <w:t>riculum gefordert. Das Erfassen einer Titrationskurve einer mehrprotonigen Säure ist eine A</w:t>
      </w:r>
      <w:r w:rsidR="00825C2E">
        <w:t>n</w:t>
      </w:r>
      <w:r w:rsidR="00825C2E">
        <w:t xml:space="preserve">wendung und Kontrolle der </w:t>
      </w:r>
      <w:r w:rsidR="007A7941">
        <w:t xml:space="preserve">Fertigkeit </w:t>
      </w:r>
      <w:r w:rsidR="00825C2E">
        <w:t xml:space="preserve">im </w:t>
      </w:r>
      <w:r w:rsidR="007A7941">
        <w:t>A</w:t>
      </w:r>
      <w:r w:rsidR="00825C2E">
        <w:t xml:space="preserve">ufnehmen einer Titrationskurve. Außerdem wird hier die qualitative Erklärung einer Titrationskurve, die im KC gefordert ist, </w:t>
      </w:r>
      <w:r w:rsidR="0023066D">
        <w:t>abgefragt.</w:t>
      </w:r>
    </w:p>
    <w:p w:rsidR="0013576E" w:rsidRDefault="0013576E" w:rsidP="0013576E">
      <w:r>
        <w:t xml:space="preserve">In der zweiten Aufgabe sollen die Schülerinnen und Schüler die einzelnen Protolyse-Schritte der Phosphorsäure-Dissoziation formulieren und mithilfe der Drei-Geraden-Methode die </w:t>
      </w:r>
      <w:proofErr w:type="spellStart"/>
      <w:r>
        <w:t>ÄP´s</w:t>
      </w:r>
      <w:proofErr w:type="spellEnd"/>
      <w:r>
        <w:t xml:space="preserve"> b</w:t>
      </w:r>
      <w:r>
        <w:t>e</w:t>
      </w:r>
      <w:r>
        <w:t xml:space="preserve">stimmen. Diese Aufgabe ist im Anforderungsbereich II angesiedelt, da die Schülerinnen und Schüler ihr Wissen aus der Säure-Base-Chemie und vor allem Neutralisationsreaktionen </w:t>
      </w:r>
      <w:r w:rsidR="00FA4C35">
        <w:t>anwe</w:t>
      </w:r>
      <w:r w:rsidR="00FA4C35">
        <w:t>n</w:t>
      </w:r>
      <w:r w:rsidR="00FA4C35">
        <w:t>den und in der Summenformel als Reaktionsgleichung angeben müssen. Des Weiteren sollen die Schülerinnen und Schüler Ergebnisse anhand ihrer Methoden generieren, in diesem Fall durch die Extrapolation. Außerdem ist die Berechnung von Ergebnissen aus den bestimmten Werten ebenfalls der Anforderungsbereich II</w:t>
      </w:r>
      <w:r w:rsidR="00825C2E">
        <w:t xml:space="preserve"> angesiedelt</w:t>
      </w:r>
      <w:r w:rsidR="00FA4C35">
        <w:t>.</w:t>
      </w:r>
      <w:r w:rsidR="00825C2E">
        <w:t xml:space="preserve"> Im Kerncurriculum wird gefordert, dass Sch</w:t>
      </w:r>
      <w:r w:rsidR="00825C2E">
        <w:t>ü</w:t>
      </w:r>
      <w:r w:rsidR="00825C2E">
        <w:t xml:space="preserve">lerinnen und Schüler Säure-Base-Reaktionen als Protonenübergangsreaktionen deuten. </w:t>
      </w:r>
      <w:r w:rsidR="0023066D">
        <w:t xml:space="preserve">Dies wird durch die Aufstellung der Protolysegleichgewichte gefordert. </w:t>
      </w:r>
    </w:p>
    <w:p w:rsidR="00FA4C35" w:rsidRPr="0013576E" w:rsidRDefault="00FA4C35" w:rsidP="0013576E">
      <w:r>
        <w:t xml:space="preserve">In der dritten Aufgabe sollen die Schülerinnen und Schüler ihre </w:t>
      </w:r>
      <w:r w:rsidR="0023066D">
        <w:t>errechneten Werte einordnen diese miteinander vergleichen. S</w:t>
      </w:r>
      <w:r>
        <w:t>owie die Ergebnisse beurteilen, ob diese gut oder schlecht sind in Bezug auf die Menge der enthaltenen Phosphorsäure in der Cola. Durch den Operator ‚beurte</w:t>
      </w:r>
      <w:r>
        <w:t>i</w:t>
      </w:r>
      <w:r>
        <w:t xml:space="preserve">le‘ ist diese Aufgabe in dem Anforderungsbereich III </w:t>
      </w:r>
      <w:r w:rsidR="007A7941">
        <w:t>anzusiedeln</w:t>
      </w:r>
      <w:r>
        <w:t>, da die Schülerinnen und Sch</w:t>
      </w:r>
      <w:r>
        <w:t>ü</w:t>
      </w:r>
      <w:r>
        <w:lastRenderedPageBreak/>
        <w:t>ler zu einem Sachverhalt eine selbstständige Einschätzung nach fachwissenschaftlichen Kriter</w:t>
      </w:r>
      <w:r>
        <w:t>i</w:t>
      </w:r>
      <w:r>
        <w:t>en angeben.</w:t>
      </w:r>
      <w:r w:rsidR="0023066D">
        <w:t xml:space="preserve"> In dieser Aufgabe wird d</w:t>
      </w:r>
      <w:r w:rsidR="007A7941">
        <w:t>er</w:t>
      </w:r>
      <w:r w:rsidR="0023066D">
        <w:t xml:space="preserve"> Punkt im KC, das Schülerinnen und Schüler die Bede</w:t>
      </w:r>
      <w:r w:rsidR="0023066D">
        <w:t>u</w:t>
      </w:r>
      <w:r w:rsidR="0023066D">
        <w:t>tung der Titration als maßanalytisches Verfahren erkennen und beschreiben sollen, erarbeitet und die Möglichkeit der Beurteilung durch diese Methode aufgezeigt.</w:t>
      </w:r>
    </w:p>
    <w:p w:rsidR="006968E6" w:rsidRPr="00E54798" w:rsidRDefault="006968E6" w:rsidP="006968E6">
      <w:pPr>
        <w:pStyle w:val="berschrift2"/>
        <w:rPr>
          <w:color w:val="auto"/>
        </w:rPr>
      </w:pPr>
      <w:bookmarkStart w:id="13" w:name="_Toc457758479"/>
      <w:r w:rsidRPr="00E54798">
        <w:rPr>
          <w:color w:val="auto"/>
        </w:rPr>
        <w:t>Erwartungshorizont (Inhaltlich)</w:t>
      </w:r>
      <w:bookmarkEnd w:id="13"/>
    </w:p>
    <w:p w:rsidR="00016435" w:rsidRDefault="00016435" w:rsidP="00016435">
      <w:pPr>
        <w:rPr>
          <w:color w:val="auto"/>
        </w:rPr>
      </w:pPr>
      <w:r w:rsidRPr="003D70AB">
        <w:rPr>
          <w:b/>
          <w:color w:val="auto"/>
        </w:rPr>
        <w:t>1.</w:t>
      </w:r>
      <w:r>
        <w:rPr>
          <w:b/>
          <w:color w:val="auto"/>
        </w:rPr>
        <w:t xml:space="preserve"> </w:t>
      </w:r>
      <w:r>
        <w:rPr>
          <w:color w:val="auto"/>
        </w:rPr>
        <w:t>Stelle deine Messwerte graphisch dar. Sind Auffälligkeiten vorhanden?</w:t>
      </w:r>
    </w:p>
    <w:p w:rsidR="00F74A95" w:rsidRDefault="00016435" w:rsidP="005B60E3">
      <w:pPr>
        <w:rPr>
          <w:rFonts w:asciiTheme="majorHAnsi" w:hAnsiTheme="majorHAnsi"/>
          <w:i/>
          <w:color w:val="auto"/>
        </w:rPr>
      </w:pPr>
      <w:r w:rsidRPr="00016435">
        <w:rPr>
          <w:rFonts w:asciiTheme="majorHAnsi" w:hAnsiTheme="majorHAnsi"/>
          <w:i/>
          <w:noProof/>
          <w:color w:val="auto"/>
          <w:lang w:eastAsia="de-DE"/>
        </w:rPr>
        <w:drawing>
          <wp:inline distT="0" distB="0" distL="0" distR="0">
            <wp:extent cx="5345574" cy="2760453"/>
            <wp:effectExtent l="19050" t="0" r="26526" b="1797"/>
            <wp:docPr id="70"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16435" w:rsidRDefault="00016435" w:rsidP="005B60E3">
      <w:pPr>
        <w:rPr>
          <w:rFonts w:asciiTheme="majorHAnsi" w:hAnsiTheme="majorHAnsi"/>
          <w:i/>
          <w:color w:val="auto"/>
        </w:rPr>
      </w:pPr>
      <w:r>
        <w:rPr>
          <w:rFonts w:asciiTheme="majorHAnsi" w:hAnsiTheme="majorHAnsi"/>
          <w:i/>
          <w:color w:val="auto"/>
        </w:rPr>
        <w:t>Auffällig ist, dass nicht nur ein Äquivalenzpunkt vorhanden ist, sondern zwei.</w:t>
      </w:r>
    </w:p>
    <w:p w:rsidR="00B93F89" w:rsidRDefault="00B93F89" w:rsidP="00B93F89">
      <w:pPr>
        <w:rPr>
          <w:color w:val="auto"/>
        </w:rPr>
      </w:pPr>
      <w:r w:rsidRPr="003D70AB">
        <w:rPr>
          <w:b/>
          <w:color w:val="auto"/>
        </w:rPr>
        <w:t>2.</w:t>
      </w:r>
      <w:r>
        <w:rPr>
          <w:b/>
          <w:color w:val="auto"/>
        </w:rPr>
        <w:t xml:space="preserve"> </w:t>
      </w:r>
      <w:r>
        <w:rPr>
          <w:color w:val="auto"/>
        </w:rPr>
        <w:t>Formuliere die einzelnen Protolysegleichgewichte der Phosphorsäure und bestimme mithilfe der Drei-Geraden-Methode die Äquivalenzpunkte. Berechne außerdem den Phosphatsäure-Gehalt in der Cola.</w:t>
      </w:r>
    </w:p>
    <w:p w:rsidR="00B93F89" w:rsidRPr="00F42B1C" w:rsidRDefault="00B93F89" w:rsidP="00B93F89">
      <w:pPr>
        <w:rPr>
          <w:i/>
        </w:rPr>
      </w:pPr>
      <w:r w:rsidRPr="00F42B1C">
        <w:rPr>
          <w:i/>
        </w:rPr>
        <w:t>Folgende Reaktionsgleichungen veranschaulichen die Deprotonierung der Phosphorsäure.</w:t>
      </w:r>
    </w:p>
    <w:p w:rsidR="00B93F89" w:rsidRPr="00F42B1C" w:rsidRDefault="00B93F89" w:rsidP="00B93F89">
      <w:pPr>
        <w:rPr>
          <w:i/>
          <w:vertAlign w:val="subscript"/>
        </w:rPr>
      </w:pPr>
      <w:r w:rsidRPr="00F42B1C">
        <w:rPr>
          <w:i/>
          <w:u w:val="single"/>
        </w:rPr>
        <w:t>RG 1:</w:t>
      </w:r>
      <w:r w:rsidRPr="00F42B1C">
        <w:rPr>
          <w:i/>
        </w:rPr>
        <w:t xml:space="preserve"> H</w:t>
      </w:r>
      <w:r w:rsidRPr="00F42B1C">
        <w:rPr>
          <w:i/>
          <w:vertAlign w:val="subscript"/>
        </w:rPr>
        <w:t>3</w:t>
      </w:r>
      <w:r w:rsidRPr="00F42B1C">
        <w:rPr>
          <w:i/>
        </w:rPr>
        <w:t>PO</w:t>
      </w:r>
      <w:r w:rsidRPr="00F42B1C">
        <w:rPr>
          <w:i/>
          <w:vertAlign w:val="subscript"/>
        </w:rPr>
        <w:t>4(</w:t>
      </w:r>
      <w:proofErr w:type="spellStart"/>
      <w:r w:rsidRPr="00F42B1C">
        <w:rPr>
          <w:i/>
          <w:vertAlign w:val="subscript"/>
        </w:rPr>
        <w:t>aq</w:t>
      </w:r>
      <w:proofErr w:type="spellEnd"/>
      <w:r w:rsidRPr="00F42B1C">
        <w:rPr>
          <w:i/>
          <w:vertAlign w:val="subscript"/>
        </w:rPr>
        <w:t>)</w:t>
      </w:r>
      <w:r w:rsidRPr="00F42B1C">
        <w:rPr>
          <w:i/>
        </w:rPr>
        <w:t xml:space="preserve"> + H</w:t>
      </w:r>
      <w:r w:rsidRPr="00F42B1C">
        <w:rPr>
          <w:i/>
          <w:vertAlign w:val="subscript"/>
        </w:rPr>
        <w:t>2</w:t>
      </w:r>
      <w:r w:rsidRPr="00F42B1C">
        <w:rPr>
          <w:i/>
        </w:rPr>
        <w:t>O</w:t>
      </w:r>
      <w:r w:rsidRPr="00F42B1C">
        <w:rPr>
          <w:i/>
          <w:vertAlign w:val="subscript"/>
        </w:rPr>
        <w:t>(l)</w:t>
      </w:r>
      <w:r w:rsidRPr="00F42B1C">
        <w:rPr>
          <w:i/>
        </w:rPr>
        <w:t xml:space="preserve"> </w:t>
      </w:r>
      <w:r w:rsidR="00361B49">
        <w:rPr>
          <w:i/>
        </w:rPr>
        <w:t>⇌</w:t>
      </w:r>
      <w:r w:rsidRPr="00F42B1C">
        <w:rPr>
          <w:i/>
        </w:rPr>
        <w:t xml:space="preserve"> H</w:t>
      </w:r>
      <w:r w:rsidRPr="00F42B1C">
        <w:rPr>
          <w:i/>
          <w:vertAlign w:val="subscript"/>
        </w:rPr>
        <w:t>3</w:t>
      </w:r>
      <w:r w:rsidRPr="00F42B1C">
        <w:rPr>
          <w:i/>
        </w:rPr>
        <w:t>O</w:t>
      </w:r>
      <w:r w:rsidRPr="00F42B1C">
        <w:rPr>
          <w:i/>
          <w:vertAlign w:val="superscript"/>
        </w:rPr>
        <w:t>+</w:t>
      </w:r>
      <w:r w:rsidRPr="00F42B1C">
        <w:rPr>
          <w:i/>
          <w:vertAlign w:val="subscript"/>
        </w:rPr>
        <w:t>(</w:t>
      </w:r>
      <w:proofErr w:type="spellStart"/>
      <w:r w:rsidRPr="00F42B1C">
        <w:rPr>
          <w:i/>
          <w:vertAlign w:val="subscript"/>
        </w:rPr>
        <w:t>aq</w:t>
      </w:r>
      <w:proofErr w:type="spellEnd"/>
      <w:r w:rsidRPr="00F42B1C">
        <w:rPr>
          <w:i/>
          <w:vertAlign w:val="subscript"/>
        </w:rPr>
        <w:t>)</w:t>
      </w:r>
      <w:r w:rsidRPr="00F42B1C">
        <w:rPr>
          <w:i/>
        </w:rPr>
        <w:t xml:space="preserve"> + H</w:t>
      </w:r>
      <w:r w:rsidRPr="00F42B1C">
        <w:rPr>
          <w:i/>
          <w:vertAlign w:val="subscript"/>
        </w:rPr>
        <w:t>2</w:t>
      </w:r>
      <w:r w:rsidRPr="00F42B1C">
        <w:rPr>
          <w:i/>
        </w:rPr>
        <w:t>PO</w:t>
      </w:r>
      <w:r w:rsidRPr="00F42B1C">
        <w:rPr>
          <w:i/>
          <w:vertAlign w:val="subscript"/>
        </w:rPr>
        <w:t>4</w:t>
      </w:r>
      <w:r w:rsidRPr="00F42B1C">
        <w:rPr>
          <w:i/>
          <w:vertAlign w:val="superscript"/>
        </w:rPr>
        <w:t>-</w:t>
      </w:r>
      <w:r w:rsidRPr="00F42B1C">
        <w:rPr>
          <w:i/>
          <w:vertAlign w:val="subscript"/>
        </w:rPr>
        <w:t>(</w:t>
      </w:r>
      <w:proofErr w:type="spellStart"/>
      <w:r w:rsidRPr="00F42B1C">
        <w:rPr>
          <w:i/>
          <w:vertAlign w:val="subscript"/>
        </w:rPr>
        <w:t>aq</w:t>
      </w:r>
      <w:proofErr w:type="spellEnd"/>
      <w:r w:rsidRPr="00F42B1C">
        <w:rPr>
          <w:i/>
          <w:vertAlign w:val="subscript"/>
        </w:rPr>
        <w:t>)</w:t>
      </w:r>
    </w:p>
    <w:p w:rsidR="00B93F89" w:rsidRPr="00F42B1C" w:rsidRDefault="00B93F89" w:rsidP="00B93F89">
      <w:pPr>
        <w:rPr>
          <w:i/>
          <w:vertAlign w:val="subscript"/>
        </w:rPr>
      </w:pPr>
      <w:r w:rsidRPr="00F42B1C">
        <w:rPr>
          <w:i/>
          <w:u w:val="single"/>
        </w:rPr>
        <w:t>RG 2:</w:t>
      </w:r>
      <w:r w:rsidRPr="00F42B1C">
        <w:rPr>
          <w:i/>
        </w:rPr>
        <w:t xml:space="preserve"> H</w:t>
      </w:r>
      <w:r w:rsidRPr="00F42B1C">
        <w:rPr>
          <w:i/>
          <w:vertAlign w:val="subscript"/>
        </w:rPr>
        <w:t>2</w:t>
      </w:r>
      <w:r w:rsidRPr="00F42B1C">
        <w:rPr>
          <w:i/>
        </w:rPr>
        <w:t>PO</w:t>
      </w:r>
      <w:r w:rsidRPr="00F42B1C">
        <w:rPr>
          <w:i/>
          <w:vertAlign w:val="subscript"/>
        </w:rPr>
        <w:t>4</w:t>
      </w:r>
      <w:r w:rsidRPr="00F42B1C">
        <w:rPr>
          <w:i/>
          <w:vertAlign w:val="superscript"/>
        </w:rPr>
        <w:t>-</w:t>
      </w:r>
      <w:r w:rsidRPr="00F42B1C">
        <w:rPr>
          <w:i/>
          <w:vertAlign w:val="subscript"/>
        </w:rPr>
        <w:t>(</w:t>
      </w:r>
      <w:proofErr w:type="spellStart"/>
      <w:r w:rsidRPr="00F42B1C">
        <w:rPr>
          <w:i/>
          <w:vertAlign w:val="subscript"/>
        </w:rPr>
        <w:t>aq</w:t>
      </w:r>
      <w:proofErr w:type="spellEnd"/>
      <w:r w:rsidRPr="00F42B1C">
        <w:rPr>
          <w:i/>
          <w:vertAlign w:val="subscript"/>
        </w:rPr>
        <w:t>)</w:t>
      </w:r>
      <w:r w:rsidRPr="00F42B1C">
        <w:rPr>
          <w:i/>
        </w:rPr>
        <w:t xml:space="preserve"> + H</w:t>
      </w:r>
      <w:r w:rsidRPr="00F42B1C">
        <w:rPr>
          <w:i/>
          <w:vertAlign w:val="subscript"/>
        </w:rPr>
        <w:t>2</w:t>
      </w:r>
      <w:r w:rsidRPr="00F42B1C">
        <w:rPr>
          <w:i/>
        </w:rPr>
        <w:t>O</w:t>
      </w:r>
      <w:r w:rsidRPr="00F42B1C">
        <w:rPr>
          <w:i/>
          <w:vertAlign w:val="subscript"/>
        </w:rPr>
        <w:t>(l)</w:t>
      </w:r>
      <w:r w:rsidRPr="00F42B1C">
        <w:rPr>
          <w:i/>
        </w:rPr>
        <w:t xml:space="preserve"> ⇌ H</w:t>
      </w:r>
      <w:r w:rsidRPr="00F42B1C">
        <w:rPr>
          <w:i/>
          <w:vertAlign w:val="subscript"/>
        </w:rPr>
        <w:t>3</w:t>
      </w:r>
      <w:r w:rsidRPr="00F42B1C">
        <w:rPr>
          <w:i/>
        </w:rPr>
        <w:t>O</w:t>
      </w:r>
      <w:r w:rsidRPr="00F42B1C">
        <w:rPr>
          <w:i/>
          <w:vertAlign w:val="superscript"/>
        </w:rPr>
        <w:t>+</w:t>
      </w:r>
      <w:r w:rsidRPr="00F42B1C">
        <w:rPr>
          <w:i/>
          <w:vertAlign w:val="subscript"/>
        </w:rPr>
        <w:t>(</w:t>
      </w:r>
      <w:proofErr w:type="spellStart"/>
      <w:r w:rsidRPr="00F42B1C">
        <w:rPr>
          <w:i/>
          <w:vertAlign w:val="subscript"/>
        </w:rPr>
        <w:t>aq</w:t>
      </w:r>
      <w:proofErr w:type="spellEnd"/>
      <w:r w:rsidRPr="00F42B1C">
        <w:rPr>
          <w:i/>
          <w:vertAlign w:val="subscript"/>
        </w:rPr>
        <w:t>)</w:t>
      </w:r>
      <w:r w:rsidRPr="00F42B1C">
        <w:rPr>
          <w:i/>
        </w:rPr>
        <w:t xml:space="preserve"> + HPO</w:t>
      </w:r>
      <w:r w:rsidRPr="00F42B1C">
        <w:rPr>
          <w:i/>
          <w:vertAlign w:val="subscript"/>
        </w:rPr>
        <w:t>4</w:t>
      </w:r>
      <w:r w:rsidRPr="00F42B1C">
        <w:rPr>
          <w:i/>
          <w:vertAlign w:val="superscript"/>
        </w:rPr>
        <w:t>2-</w:t>
      </w:r>
      <w:r w:rsidRPr="00F42B1C">
        <w:rPr>
          <w:i/>
          <w:vertAlign w:val="subscript"/>
        </w:rPr>
        <w:t>(</w:t>
      </w:r>
      <w:proofErr w:type="spellStart"/>
      <w:r w:rsidRPr="00F42B1C">
        <w:rPr>
          <w:i/>
          <w:vertAlign w:val="subscript"/>
        </w:rPr>
        <w:t>aq</w:t>
      </w:r>
      <w:proofErr w:type="spellEnd"/>
      <w:r w:rsidRPr="00F42B1C">
        <w:rPr>
          <w:i/>
          <w:vertAlign w:val="subscript"/>
        </w:rPr>
        <w:t>)</w:t>
      </w:r>
    </w:p>
    <w:p w:rsidR="00B93F89" w:rsidRPr="00F42B1C" w:rsidRDefault="00B93F89" w:rsidP="00B93F89">
      <w:pPr>
        <w:rPr>
          <w:i/>
          <w:u w:val="single"/>
        </w:rPr>
      </w:pPr>
      <w:r w:rsidRPr="00F42B1C">
        <w:rPr>
          <w:i/>
          <w:u w:val="single"/>
        </w:rPr>
        <w:t xml:space="preserve">RG 3: </w:t>
      </w:r>
      <w:r w:rsidRPr="00F42B1C">
        <w:rPr>
          <w:i/>
        </w:rPr>
        <w:t>HPO</w:t>
      </w:r>
      <w:r w:rsidRPr="00F42B1C">
        <w:rPr>
          <w:i/>
          <w:vertAlign w:val="subscript"/>
        </w:rPr>
        <w:t>4</w:t>
      </w:r>
      <w:r w:rsidRPr="00F42B1C">
        <w:rPr>
          <w:i/>
          <w:vertAlign w:val="superscript"/>
        </w:rPr>
        <w:t>2-</w:t>
      </w:r>
      <w:r w:rsidRPr="00F42B1C">
        <w:rPr>
          <w:i/>
          <w:vertAlign w:val="subscript"/>
        </w:rPr>
        <w:t>(</w:t>
      </w:r>
      <w:proofErr w:type="spellStart"/>
      <w:r w:rsidRPr="00F42B1C">
        <w:rPr>
          <w:i/>
          <w:vertAlign w:val="subscript"/>
        </w:rPr>
        <w:t>aq</w:t>
      </w:r>
      <w:proofErr w:type="spellEnd"/>
      <w:r w:rsidRPr="00F42B1C">
        <w:rPr>
          <w:i/>
          <w:vertAlign w:val="subscript"/>
        </w:rPr>
        <w:t>)</w:t>
      </w:r>
      <w:r w:rsidRPr="00F42B1C">
        <w:rPr>
          <w:i/>
        </w:rPr>
        <w:t xml:space="preserve"> + H</w:t>
      </w:r>
      <w:r w:rsidRPr="00F42B1C">
        <w:rPr>
          <w:i/>
          <w:vertAlign w:val="subscript"/>
        </w:rPr>
        <w:t>2</w:t>
      </w:r>
      <w:r w:rsidRPr="00F42B1C">
        <w:rPr>
          <w:i/>
        </w:rPr>
        <w:t>O</w:t>
      </w:r>
      <w:r w:rsidRPr="00F42B1C">
        <w:rPr>
          <w:i/>
          <w:vertAlign w:val="subscript"/>
        </w:rPr>
        <w:t>(l)</w:t>
      </w:r>
      <w:r w:rsidRPr="00F42B1C">
        <w:rPr>
          <w:i/>
        </w:rPr>
        <w:t xml:space="preserve"> ⇌ H</w:t>
      </w:r>
      <w:r w:rsidRPr="00F42B1C">
        <w:rPr>
          <w:i/>
          <w:vertAlign w:val="subscript"/>
        </w:rPr>
        <w:t>3</w:t>
      </w:r>
      <w:r w:rsidRPr="00F42B1C">
        <w:rPr>
          <w:i/>
        </w:rPr>
        <w:t>O</w:t>
      </w:r>
      <w:r w:rsidRPr="00F42B1C">
        <w:rPr>
          <w:i/>
          <w:vertAlign w:val="superscript"/>
        </w:rPr>
        <w:t>+</w:t>
      </w:r>
      <w:r w:rsidRPr="00F42B1C">
        <w:rPr>
          <w:i/>
          <w:vertAlign w:val="subscript"/>
        </w:rPr>
        <w:t>(</w:t>
      </w:r>
      <w:proofErr w:type="spellStart"/>
      <w:r w:rsidRPr="00F42B1C">
        <w:rPr>
          <w:i/>
          <w:vertAlign w:val="subscript"/>
        </w:rPr>
        <w:t>aq</w:t>
      </w:r>
      <w:proofErr w:type="spellEnd"/>
      <w:r w:rsidRPr="00F42B1C">
        <w:rPr>
          <w:i/>
          <w:vertAlign w:val="subscript"/>
        </w:rPr>
        <w:t>)</w:t>
      </w:r>
      <w:r w:rsidRPr="00F42B1C">
        <w:rPr>
          <w:i/>
        </w:rPr>
        <w:t xml:space="preserve"> + PO</w:t>
      </w:r>
      <w:r w:rsidRPr="00F42B1C">
        <w:rPr>
          <w:i/>
          <w:vertAlign w:val="subscript"/>
        </w:rPr>
        <w:t>4</w:t>
      </w:r>
      <w:r w:rsidRPr="00F42B1C">
        <w:rPr>
          <w:i/>
          <w:vertAlign w:val="superscript"/>
        </w:rPr>
        <w:t>3-</w:t>
      </w:r>
      <w:r w:rsidRPr="00F42B1C">
        <w:rPr>
          <w:i/>
          <w:vertAlign w:val="subscript"/>
        </w:rPr>
        <w:t>(</w:t>
      </w:r>
      <w:proofErr w:type="spellStart"/>
      <w:r w:rsidRPr="00F42B1C">
        <w:rPr>
          <w:i/>
          <w:vertAlign w:val="subscript"/>
        </w:rPr>
        <w:t>aq</w:t>
      </w:r>
      <w:proofErr w:type="spellEnd"/>
      <w:r w:rsidRPr="00F42B1C">
        <w:rPr>
          <w:i/>
          <w:vertAlign w:val="subscript"/>
        </w:rPr>
        <w:t>)</w:t>
      </w:r>
    </w:p>
    <w:p w:rsidR="00B93F89" w:rsidRPr="00F42B1C" w:rsidRDefault="00E4236B" w:rsidP="005B60E3">
      <w:pPr>
        <w:rPr>
          <w:rFonts w:asciiTheme="majorHAnsi" w:hAnsiTheme="majorHAnsi"/>
          <w:i/>
          <w:color w:val="auto"/>
        </w:rPr>
      </w:pPr>
      <w:r w:rsidRPr="00F42B1C">
        <w:rPr>
          <w:rFonts w:asciiTheme="majorHAnsi" w:hAnsiTheme="majorHAnsi"/>
          <w:i/>
          <w:color w:val="auto"/>
        </w:rPr>
        <w:t>Für die Bestimmung der Äquivalenzpunkte mithilfe der Drei-Geraden-Methode siehe Anhang.</w:t>
      </w:r>
    </w:p>
    <w:p w:rsidR="00F42B1C" w:rsidRPr="00F42B1C" w:rsidRDefault="00F42B1C" w:rsidP="00F42B1C">
      <w:pPr>
        <w:ind w:left="2127"/>
        <w:rPr>
          <w:i/>
        </w:rPr>
      </w:pPr>
      <w:r w:rsidRPr="00F42B1C">
        <w:rPr>
          <w:i/>
        </w:rPr>
        <w:t xml:space="preserve">Mit den erhaltenen Werten ist es nun möglich den Gehalt an Phosphorsäure zu ermitteln, dafür wird der erste Protolyse schritt (RG 1) betrachtet. Um die </w:t>
      </w:r>
      <w:proofErr w:type="spellStart"/>
      <w:r w:rsidRPr="00F42B1C">
        <w:rPr>
          <w:i/>
        </w:rPr>
        <w:t>ÄP´s</w:t>
      </w:r>
      <w:proofErr w:type="spellEnd"/>
      <w:r w:rsidRPr="00F42B1C">
        <w:rPr>
          <w:i/>
        </w:rPr>
        <w:t xml:space="preserve"> ablesen zu können werden diese mithilfe der Dreigeraden-Methode bestimmt. Für die Berechnung wird folgende Formel verwendet: </w:t>
      </w:r>
    </w:p>
    <w:p w:rsidR="00F42B1C" w:rsidRPr="00F42B1C" w:rsidRDefault="00D837BB" w:rsidP="00F42B1C">
      <w:pPr>
        <w:ind w:left="2127"/>
        <w:rPr>
          <w:rFonts w:eastAsiaTheme="minorEastAsia"/>
          <w:i/>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Säure</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Base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Base</m:t>
              </m:r>
            </m:sub>
          </m:sSub>
        </m:oMath>
      </m:oMathPara>
    </w:p>
    <w:p w:rsidR="00F42B1C" w:rsidRPr="00F42B1C" w:rsidRDefault="00F42B1C" w:rsidP="00F42B1C">
      <w:pPr>
        <w:ind w:left="2127"/>
        <w:rPr>
          <w:i/>
        </w:rPr>
      </w:pPr>
      <w:r w:rsidRPr="00F42B1C">
        <w:rPr>
          <w:i/>
        </w:rPr>
        <w:t>Die Formel wird nach der Konzentration der Säure umgestellt, so wird fo</w:t>
      </w:r>
      <w:r w:rsidRPr="00F42B1C">
        <w:rPr>
          <w:i/>
        </w:rPr>
        <w:t>l</w:t>
      </w:r>
      <w:r w:rsidRPr="00F42B1C">
        <w:rPr>
          <w:i/>
        </w:rPr>
        <w:t>gendes erhalten:</w:t>
      </w:r>
    </w:p>
    <w:p w:rsidR="00F42B1C" w:rsidRPr="00F42B1C" w:rsidRDefault="00D837BB" w:rsidP="00F42B1C">
      <w:pPr>
        <w:ind w:left="2127"/>
        <w:rPr>
          <w:rFonts w:eastAsiaTheme="minorEastAsia"/>
          <w:i/>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 xml:space="preserve">Base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Base</m:t>
                  </m:r>
                </m:sub>
              </m:sSub>
            </m:num>
            <m:den>
              <m:sSub>
                <m:sSubPr>
                  <m:ctrlPr>
                    <w:rPr>
                      <w:rFonts w:ascii="Cambria Math" w:hAnsi="Cambria Math"/>
                      <w:i/>
                    </w:rPr>
                  </m:ctrlPr>
                </m:sSubPr>
                <m:e>
                  <m:r>
                    <w:rPr>
                      <w:rFonts w:ascii="Cambria Math" w:hAnsi="Cambria Math"/>
                    </w:rPr>
                    <m:t>V</m:t>
                  </m:r>
                </m:e>
                <m:sub>
                  <m:r>
                    <w:rPr>
                      <w:rFonts w:ascii="Cambria Math" w:hAnsi="Cambria Math"/>
                    </w:rPr>
                    <m:t>Säure</m:t>
                  </m:r>
                </m:sub>
              </m:sSub>
            </m:den>
          </m:f>
        </m:oMath>
      </m:oMathPara>
    </w:p>
    <w:p w:rsidR="00F42B1C" w:rsidRPr="00F42B1C" w:rsidRDefault="00F42B1C" w:rsidP="00F42B1C">
      <w:pPr>
        <w:ind w:left="2127"/>
        <w:rPr>
          <w:i/>
        </w:rPr>
      </w:pPr>
      <w:r w:rsidRPr="00F42B1C">
        <w:rPr>
          <w:i/>
        </w:rPr>
        <w:t>Nun werden die Werte in die Formel eingesetzt:</w:t>
      </w:r>
    </w:p>
    <w:p w:rsidR="00F42B1C" w:rsidRPr="00F42B1C" w:rsidRDefault="00D837BB" w:rsidP="00F42B1C">
      <w:pPr>
        <w:ind w:left="2127"/>
        <w:rPr>
          <w:rFonts w:eastAsiaTheme="minorEastAsia"/>
          <w:i/>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 xml:space="preserve">= </m:t>
          </m:r>
          <m:f>
            <m:fPr>
              <m:ctrlPr>
                <w:rPr>
                  <w:rFonts w:ascii="Cambria Math" w:hAnsi="Cambria Math"/>
                  <w:i/>
                </w:rPr>
              </m:ctrlPr>
            </m:fPr>
            <m:num>
              <m:r>
                <w:rPr>
                  <w:rFonts w:ascii="Cambria Math" w:hAnsi="Cambria Math"/>
                </w:rPr>
                <m:t xml:space="preserve">0,1 </m:t>
              </m:r>
              <m:f>
                <m:fPr>
                  <m:ctrlPr>
                    <w:rPr>
                      <w:rFonts w:ascii="Cambria Math" w:hAnsi="Cambria Math"/>
                      <w:i/>
                    </w:rPr>
                  </m:ctrlPr>
                </m:fPr>
                <m:num>
                  <m:r>
                    <w:rPr>
                      <w:rFonts w:ascii="Cambria Math" w:hAnsi="Cambria Math"/>
                    </w:rPr>
                    <m:t>mol</m:t>
                  </m:r>
                </m:num>
                <m:den>
                  <m:r>
                    <w:rPr>
                      <w:rFonts w:ascii="Cambria Math" w:hAnsi="Cambria Math"/>
                    </w:rPr>
                    <m:t>L</m:t>
                  </m:r>
                </m:den>
              </m:f>
              <m:r>
                <w:rPr>
                  <w:rFonts w:ascii="Cambria Math" w:hAnsi="Cambria Math"/>
                </w:rPr>
                <m:t>∙0,0047 L</m:t>
              </m:r>
            </m:num>
            <m:den>
              <m:r>
                <w:rPr>
                  <w:rFonts w:ascii="Cambria Math" w:hAnsi="Cambria Math"/>
                </w:rPr>
                <m:t>0,150 L</m:t>
              </m:r>
            </m:den>
          </m:f>
          <m:r>
            <w:rPr>
              <w:rFonts w:ascii="Cambria Math" w:hAnsi="Cambria Math"/>
            </w:rPr>
            <m:t>=3,13 ∙</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i/>
                </w:rPr>
              </m:ctrlPr>
            </m:fPr>
            <m:num>
              <m:r>
                <w:rPr>
                  <w:rFonts w:ascii="Cambria Math" w:hAnsi="Cambria Math"/>
                </w:rPr>
                <m:t>mol</m:t>
              </m:r>
            </m:num>
            <m:den>
              <m:r>
                <w:rPr>
                  <w:rFonts w:ascii="Cambria Math" w:hAnsi="Cambria Math"/>
                </w:rPr>
                <m:t>L</m:t>
              </m:r>
            </m:den>
          </m:f>
          <m:r>
            <w:rPr>
              <w:rFonts w:ascii="Cambria Math" w:eastAsiaTheme="minorEastAsia" w:hAnsi="Cambria Math"/>
            </w:rPr>
            <m:t xml:space="preserve">=3,13 </m:t>
          </m:r>
          <m:f>
            <m:fPr>
              <m:ctrlPr>
                <w:rPr>
                  <w:rFonts w:ascii="Cambria Math" w:hAnsi="Cambria Math"/>
                  <w:i/>
                </w:rPr>
              </m:ctrlPr>
            </m:fPr>
            <m:num>
              <m:r>
                <w:rPr>
                  <w:rFonts w:ascii="Cambria Math" w:hAnsi="Cambria Math"/>
                </w:rPr>
                <m:t>mmol</m:t>
              </m:r>
            </m:num>
            <m:den>
              <m:r>
                <w:rPr>
                  <w:rFonts w:ascii="Cambria Math" w:hAnsi="Cambria Math"/>
                </w:rPr>
                <m:t>L</m:t>
              </m:r>
            </m:den>
          </m:f>
        </m:oMath>
      </m:oMathPara>
    </w:p>
    <w:p w:rsidR="00F42B1C" w:rsidRPr="00F42B1C" w:rsidRDefault="00F42B1C" w:rsidP="00F42B1C">
      <w:pPr>
        <w:ind w:left="2127"/>
        <w:rPr>
          <w:i/>
        </w:rPr>
      </w:pPr>
      <w:r w:rsidRPr="00F42B1C">
        <w:rPr>
          <w:i/>
        </w:rPr>
        <w:t>Nun wird mit der molaren Masse der Phosphorsäure der Wert gemäß der nachfolgenden Gleichung verrechnet, um die exakte Menge zu erhalten.</w:t>
      </w:r>
    </w:p>
    <w:p w:rsidR="00F42B1C" w:rsidRPr="00F42B1C" w:rsidRDefault="00F42B1C" w:rsidP="00F42B1C">
      <w:pPr>
        <w:ind w:left="2127"/>
        <w:rPr>
          <w:rFonts w:eastAsiaTheme="minorEastAsia"/>
          <w:i/>
        </w:rPr>
      </w:pPr>
      <m:oMathPara>
        <m:oMath>
          <m:r>
            <w:rPr>
              <w:rFonts w:ascii="Cambria Math" w:hAnsi="Cambria Math"/>
            </w:rPr>
            <m:t xml:space="preserve">m= </m:t>
          </m:r>
          <m:sSub>
            <m:sSubPr>
              <m:ctrlPr>
                <w:rPr>
                  <w:rFonts w:ascii="Cambria Math" w:hAnsi="Cambria Math"/>
                  <w:i/>
                </w:rPr>
              </m:ctrlPr>
            </m:sSubPr>
            <m:e>
              <m:r>
                <w:rPr>
                  <w:rFonts w:ascii="Cambria Math" w:hAnsi="Cambria Math"/>
                </w:rPr>
                <m:t>c</m:t>
              </m:r>
            </m:e>
            <m:sub>
              <m:r>
                <w:rPr>
                  <w:rFonts w:ascii="Cambria Math" w:hAnsi="Cambria Math"/>
                </w:rPr>
                <m:t xml:space="preserve">Säure </m:t>
              </m:r>
            </m:sub>
          </m:sSub>
          <m:r>
            <w:rPr>
              <w:rFonts w:ascii="Cambria Math" w:hAnsi="Cambria Math"/>
            </w:rPr>
            <m:t>∙M</m:t>
          </m:r>
          <m:r>
            <w:rPr>
              <w:rFonts w:ascii="Cambria Math" w:eastAsiaTheme="minorEastAsia" w:hAnsi="Cambria Math"/>
            </w:rPr>
            <m:t xml:space="preserve">= </m:t>
          </m:r>
          <m:r>
            <w:rPr>
              <w:rFonts w:ascii="Cambria Math" w:hAnsi="Cambria Math"/>
            </w:rPr>
            <m:t>3,13 ∙</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i/>
                </w:rPr>
              </m:ctrlPr>
            </m:fPr>
            <m:num>
              <m:r>
                <w:rPr>
                  <w:rFonts w:ascii="Cambria Math" w:hAnsi="Cambria Math"/>
                </w:rPr>
                <m:t>mol</m:t>
              </m:r>
            </m:num>
            <m:den>
              <m:r>
                <w:rPr>
                  <w:rFonts w:ascii="Cambria Math" w:hAnsi="Cambria Math"/>
                </w:rPr>
                <m:t>L</m:t>
              </m:r>
            </m:den>
          </m:f>
          <m:r>
            <w:rPr>
              <w:rFonts w:ascii="Cambria Math" w:eastAsiaTheme="minorEastAsia" w:hAnsi="Cambria Math"/>
            </w:rPr>
            <m:t xml:space="preserve"> ∙98 </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mol</m:t>
              </m:r>
            </m:den>
          </m:f>
          <m:r>
            <w:rPr>
              <w:rFonts w:ascii="Cambria Math" w:eastAsiaTheme="minorEastAsia" w:hAnsi="Cambria Math"/>
            </w:rPr>
            <m:t xml:space="preserve">=0,307 </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L</m:t>
              </m:r>
            </m:den>
          </m:f>
          <m:r>
            <w:rPr>
              <w:rFonts w:ascii="Cambria Math" w:eastAsiaTheme="minorEastAsia" w:hAnsi="Cambria Math"/>
            </w:rPr>
            <m:t xml:space="preserve">=307 </m:t>
          </m:r>
          <m:f>
            <m:fPr>
              <m:ctrlPr>
                <w:rPr>
                  <w:rFonts w:ascii="Cambria Math" w:eastAsiaTheme="minorEastAsia" w:hAnsi="Cambria Math"/>
                  <w:i/>
                </w:rPr>
              </m:ctrlPr>
            </m:fPr>
            <m:num>
              <m:r>
                <w:rPr>
                  <w:rFonts w:ascii="Cambria Math" w:eastAsiaTheme="minorEastAsia" w:hAnsi="Cambria Math"/>
                </w:rPr>
                <m:t>mg</m:t>
              </m:r>
            </m:num>
            <m:den>
              <m:r>
                <w:rPr>
                  <w:rFonts w:ascii="Cambria Math" w:eastAsiaTheme="minorEastAsia" w:hAnsi="Cambria Math"/>
                </w:rPr>
                <m:t>L</m:t>
              </m:r>
            </m:den>
          </m:f>
        </m:oMath>
      </m:oMathPara>
    </w:p>
    <w:p w:rsidR="00102C4C" w:rsidRPr="00102C4C" w:rsidRDefault="00102C4C" w:rsidP="00102C4C">
      <w:pPr>
        <w:ind w:left="2127"/>
        <w:rPr>
          <w:rFonts w:eastAsiaTheme="minorEastAsia"/>
          <w:i/>
        </w:rPr>
      </w:pPr>
      <w:r w:rsidRPr="00102C4C">
        <w:rPr>
          <w:rFonts w:eastAsiaTheme="minorEastAsia"/>
          <w:i/>
          <w:u w:val="single"/>
        </w:rPr>
        <w:t>Fehlerbetrachtung:</w:t>
      </w:r>
      <w:r w:rsidRPr="00102C4C">
        <w:rPr>
          <w:rFonts w:eastAsiaTheme="minorEastAsia"/>
          <w:i/>
        </w:rPr>
        <w:t xml:space="preserve"> Es werden der absolute und relative Fehler berechnet.</w:t>
      </w:r>
    </w:p>
    <w:p w:rsidR="00102C4C" w:rsidRPr="00102C4C" w:rsidRDefault="00102C4C" w:rsidP="00102C4C">
      <w:pPr>
        <w:ind w:left="2127"/>
        <w:rPr>
          <w:rFonts w:eastAsiaTheme="minorEastAsia"/>
          <w:i/>
        </w:rPr>
      </w:pPr>
      <w:r w:rsidRPr="00102C4C">
        <w:rPr>
          <w:rFonts w:eastAsiaTheme="minorEastAsia"/>
          <w:i/>
        </w:rPr>
        <w:t>Literaturwert: max. 700 mg/L</w:t>
      </w:r>
    </w:p>
    <w:p w:rsidR="00102C4C" w:rsidRPr="00102C4C" w:rsidRDefault="00D837BB" w:rsidP="00102C4C">
      <w:pPr>
        <w:ind w:left="2127"/>
        <w:rPr>
          <w:rFonts w:eastAsiaTheme="minorEastAsia"/>
          <w: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 xml:space="preserve">Messwert </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Literatur</m:t>
                  </m:r>
                </m:sub>
              </m:sSub>
            </m:e>
          </m:d>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307- 700 </m:t>
              </m:r>
            </m:e>
          </m:d>
          <m:r>
            <w:rPr>
              <w:rFonts w:ascii="Cambria Math" w:eastAsiaTheme="minorEastAsia" w:hAnsi="Cambria Math"/>
            </w:rPr>
            <m:t>=393</m:t>
          </m:r>
        </m:oMath>
      </m:oMathPara>
    </w:p>
    <w:p w:rsidR="00102C4C" w:rsidRPr="00102C4C" w:rsidRDefault="00D837BB" w:rsidP="00102C4C">
      <w:pPr>
        <w:ind w:left="2127"/>
        <w:rPr>
          <w:rFonts w:eastAsiaTheme="minorEastAsia"/>
          <w:i/>
        </w:rPr>
      </w:pPr>
      <m:oMathPara>
        <m:oMath>
          <m:sSub>
            <m:sSubPr>
              <m:ctrlPr>
                <w:rPr>
                  <w:rFonts w:ascii="Cambria Math" w:hAnsi="Cambria Math"/>
                  <w:i/>
                </w:rPr>
              </m:ctrlPr>
            </m:sSubPr>
            <m:e>
              <m:r>
                <w:rPr>
                  <w:rFonts w:ascii="Cambria Math" w:hAnsi="Cambria Math"/>
                </w:rPr>
                <m:t>x</m:t>
              </m:r>
            </m:e>
            <m:sub>
              <m:r>
                <w:rPr>
                  <w:rFonts w:ascii="Cambria Math" w:hAnsi="Cambria Math"/>
                </w:rPr>
                <m:t>rel</m:t>
              </m:r>
            </m:sub>
          </m:sSub>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abs</m:t>
                      </m:r>
                    </m:sub>
                  </m:sSub>
                </m:e>
              </m:acc>
            </m:num>
            <m:den>
              <m:sSub>
                <m:sSubPr>
                  <m:ctrlPr>
                    <w:rPr>
                      <w:rFonts w:ascii="Cambria Math" w:hAnsi="Cambria Math"/>
                      <w:i/>
                    </w:rPr>
                  </m:ctrlPr>
                </m:sSubPr>
                <m:e>
                  <m:r>
                    <w:rPr>
                      <w:rFonts w:ascii="Cambria Math" w:hAnsi="Cambria Math"/>
                    </w:rPr>
                    <m:t>x</m:t>
                  </m:r>
                </m:e>
                <m:sub>
                  <m:r>
                    <w:rPr>
                      <w:rFonts w:ascii="Cambria Math" w:hAnsi="Cambria Math"/>
                    </w:rPr>
                    <m:t>Literatur</m:t>
                  </m:r>
                </m:sub>
              </m:sSub>
            </m:den>
          </m:f>
          <m:r>
            <w:rPr>
              <w:rFonts w:ascii="Cambria Math" w:hAnsi="Cambria Math"/>
            </w:rPr>
            <m:t xml:space="preserve"> ∙100= </m:t>
          </m:r>
          <m:f>
            <m:fPr>
              <m:ctrlPr>
                <w:rPr>
                  <w:rFonts w:ascii="Cambria Math" w:hAnsi="Cambria Math"/>
                  <w:i/>
                </w:rPr>
              </m:ctrlPr>
            </m:fPr>
            <m:num>
              <m:r>
                <w:rPr>
                  <w:rFonts w:ascii="Cambria Math" w:hAnsi="Cambria Math"/>
                </w:rPr>
                <m:t>393</m:t>
              </m:r>
            </m:num>
            <m:den>
              <m:r>
                <w:rPr>
                  <w:rFonts w:ascii="Cambria Math" w:hAnsi="Cambria Math"/>
                </w:rPr>
                <m:t>700</m:t>
              </m:r>
            </m:den>
          </m:f>
          <m:r>
            <w:rPr>
              <w:rFonts w:ascii="Cambria Math" w:hAnsi="Cambria Math"/>
            </w:rPr>
            <m:t xml:space="preserve"> ∙100=56,14 %</m:t>
          </m:r>
        </m:oMath>
      </m:oMathPara>
    </w:p>
    <w:p w:rsidR="006966EA" w:rsidRPr="00F4558B" w:rsidRDefault="006966EA" w:rsidP="006966EA">
      <w:pPr>
        <w:rPr>
          <w:color w:val="auto"/>
        </w:rPr>
      </w:pPr>
      <w:r>
        <w:rPr>
          <w:b/>
          <w:color w:val="auto"/>
        </w:rPr>
        <w:t>3.</w:t>
      </w:r>
      <w:r>
        <w:rPr>
          <w:color w:val="auto"/>
        </w:rPr>
        <w:t xml:space="preserve"> Beurteile deine berechneten Werte in Hinblick auf die nachfolgende</w:t>
      </w:r>
      <w:r w:rsidR="00073D14">
        <w:rPr>
          <w:color w:val="auto"/>
        </w:rPr>
        <w:t>n</w:t>
      </w:r>
      <w:r>
        <w:rPr>
          <w:color w:val="auto"/>
        </w:rPr>
        <w:t xml:space="preserve"> Angaben.</w:t>
      </w:r>
    </w:p>
    <w:p w:rsidR="006966EA" w:rsidRPr="00B93F89" w:rsidRDefault="006966EA" w:rsidP="006966EA">
      <w:pPr>
        <w:pStyle w:val="contentbody"/>
        <w:jc w:val="both"/>
        <w:rPr>
          <w:rFonts w:asciiTheme="majorHAnsi" w:hAnsiTheme="majorHAnsi"/>
          <w:sz w:val="22"/>
        </w:rPr>
      </w:pPr>
      <w:r w:rsidRPr="00B93F89">
        <w:rPr>
          <w:rFonts w:asciiTheme="majorHAnsi" w:hAnsiTheme="majorHAnsi"/>
          <w:sz w:val="22"/>
        </w:rPr>
        <w:t>Phosphorsäure ist unter Einhaltung bestimmter Höchstmengen für einige Lebensmittel zugela</w:t>
      </w:r>
      <w:r w:rsidRPr="00B93F89">
        <w:rPr>
          <w:rFonts w:asciiTheme="majorHAnsi" w:hAnsiTheme="majorHAnsi"/>
          <w:sz w:val="22"/>
        </w:rPr>
        <w:t>s</w:t>
      </w:r>
      <w:r w:rsidRPr="00B93F89">
        <w:rPr>
          <w:rFonts w:asciiTheme="majorHAnsi" w:hAnsiTheme="majorHAnsi"/>
          <w:sz w:val="22"/>
        </w:rPr>
        <w:t>sen. Die Zulassungen gelten größtenteils auch für die Phosphate, die deutlich häufiger angewe</w:t>
      </w:r>
      <w:r w:rsidRPr="00B93F89">
        <w:rPr>
          <w:rFonts w:asciiTheme="majorHAnsi" w:hAnsiTheme="majorHAnsi"/>
          <w:sz w:val="22"/>
        </w:rPr>
        <w:t>n</w:t>
      </w:r>
      <w:r w:rsidRPr="00B93F89">
        <w:rPr>
          <w:rFonts w:asciiTheme="majorHAnsi" w:hAnsiTheme="majorHAnsi"/>
          <w:sz w:val="22"/>
        </w:rPr>
        <w:t>det werden. Phosphorsäure ist unter anderem zugelassen für:</w:t>
      </w:r>
    </w:p>
    <w:p w:rsidR="006966EA" w:rsidRPr="00B93F89" w:rsidRDefault="006966EA" w:rsidP="006966EA">
      <w:pPr>
        <w:pStyle w:val="contentbody"/>
        <w:numPr>
          <w:ilvl w:val="0"/>
          <w:numId w:val="28"/>
        </w:numPr>
        <w:jc w:val="both"/>
        <w:rPr>
          <w:rFonts w:asciiTheme="majorHAnsi" w:hAnsiTheme="majorHAnsi"/>
          <w:sz w:val="22"/>
        </w:rPr>
      </w:pPr>
      <w:r w:rsidRPr="00B93F89">
        <w:rPr>
          <w:rFonts w:asciiTheme="majorHAnsi" w:hAnsiTheme="majorHAnsi"/>
          <w:sz w:val="22"/>
        </w:rPr>
        <w:t>Erfrischungsgetränke, insbesondere Cola-Getränken (max. 700 mg/l)</w:t>
      </w:r>
    </w:p>
    <w:p w:rsidR="006966EA" w:rsidRPr="00B93F89" w:rsidRDefault="006966EA" w:rsidP="006966EA">
      <w:pPr>
        <w:pStyle w:val="contentbody"/>
        <w:numPr>
          <w:ilvl w:val="0"/>
          <w:numId w:val="28"/>
        </w:numPr>
        <w:jc w:val="both"/>
        <w:rPr>
          <w:rFonts w:asciiTheme="majorHAnsi" w:hAnsiTheme="majorHAnsi"/>
          <w:sz w:val="22"/>
        </w:rPr>
      </w:pPr>
      <w:r w:rsidRPr="00B93F89">
        <w:rPr>
          <w:rFonts w:asciiTheme="majorHAnsi" w:hAnsiTheme="majorHAnsi"/>
          <w:sz w:val="22"/>
        </w:rPr>
        <w:t>Sportlergetränke (max. 0,5 g/l)</w:t>
      </w:r>
    </w:p>
    <w:p w:rsidR="006966EA" w:rsidRPr="00B93F89" w:rsidRDefault="006966EA" w:rsidP="006966EA">
      <w:pPr>
        <w:pStyle w:val="contentbody"/>
        <w:numPr>
          <w:ilvl w:val="0"/>
          <w:numId w:val="28"/>
        </w:numPr>
        <w:jc w:val="both"/>
        <w:rPr>
          <w:rFonts w:asciiTheme="majorHAnsi" w:hAnsiTheme="majorHAnsi"/>
          <w:sz w:val="22"/>
        </w:rPr>
      </w:pPr>
      <w:r w:rsidRPr="00B93F89">
        <w:rPr>
          <w:rFonts w:asciiTheme="majorHAnsi" w:hAnsiTheme="majorHAnsi"/>
          <w:sz w:val="22"/>
        </w:rPr>
        <w:t>Schlagsahne und Sahneerzeugnisse (max. 5 g/kg)</w:t>
      </w:r>
    </w:p>
    <w:p w:rsidR="006966EA" w:rsidRPr="00B93F89" w:rsidRDefault="006966EA" w:rsidP="006966EA">
      <w:pPr>
        <w:pStyle w:val="contentbody"/>
        <w:numPr>
          <w:ilvl w:val="0"/>
          <w:numId w:val="28"/>
        </w:numPr>
        <w:jc w:val="both"/>
        <w:rPr>
          <w:rFonts w:asciiTheme="majorHAnsi" w:hAnsiTheme="majorHAnsi"/>
          <w:sz w:val="22"/>
        </w:rPr>
      </w:pPr>
      <w:r w:rsidRPr="00B93F89">
        <w:rPr>
          <w:rFonts w:asciiTheme="majorHAnsi" w:hAnsiTheme="majorHAnsi"/>
          <w:sz w:val="22"/>
        </w:rPr>
        <w:t>Milchgetränke (je nach Fettgehalt max. 1 - 1,5 g/kg)</w:t>
      </w:r>
    </w:p>
    <w:p w:rsidR="006966EA" w:rsidRPr="00B93F89" w:rsidRDefault="006966EA" w:rsidP="006966EA">
      <w:pPr>
        <w:pStyle w:val="contentbody"/>
        <w:numPr>
          <w:ilvl w:val="0"/>
          <w:numId w:val="28"/>
        </w:numPr>
        <w:jc w:val="both"/>
        <w:rPr>
          <w:rFonts w:asciiTheme="majorHAnsi" w:hAnsiTheme="majorHAnsi"/>
          <w:sz w:val="22"/>
        </w:rPr>
      </w:pPr>
      <w:r w:rsidRPr="00B93F89">
        <w:rPr>
          <w:rFonts w:asciiTheme="majorHAnsi" w:hAnsiTheme="majorHAnsi"/>
          <w:sz w:val="22"/>
        </w:rPr>
        <w:t>Milchpulver und Kaffeeweißer (max. 2,5 g/kg bzw. 30 g/kg)</w:t>
      </w:r>
      <w:r>
        <w:rPr>
          <w:rFonts w:asciiTheme="majorHAnsi" w:hAnsiTheme="majorHAnsi"/>
          <w:sz w:val="22"/>
          <w:vertAlign w:val="superscript"/>
        </w:rPr>
        <w:t>[6]</w:t>
      </w:r>
    </w:p>
    <w:p w:rsidR="00F42B1C" w:rsidRDefault="00394469" w:rsidP="005B60E3">
      <w:pPr>
        <w:rPr>
          <w:rFonts w:asciiTheme="majorHAnsi" w:hAnsiTheme="majorHAnsi"/>
          <w:i/>
          <w:color w:val="auto"/>
        </w:rPr>
      </w:pPr>
      <w:r>
        <w:rPr>
          <w:rFonts w:asciiTheme="majorHAnsi" w:hAnsiTheme="majorHAnsi"/>
          <w:i/>
          <w:color w:val="auto"/>
        </w:rPr>
        <w:t>Die berechneten Werte zeigen, dass in der untersuchten Cola nur die Hälfte der maximal zugelass</w:t>
      </w:r>
      <w:r>
        <w:rPr>
          <w:rFonts w:asciiTheme="majorHAnsi" w:hAnsiTheme="majorHAnsi"/>
          <w:i/>
          <w:color w:val="auto"/>
        </w:rPr>
        <w:t>e</w:t>
      </w:r>
      <w:r>
        <w:rPr>
          <w:rFonts w:asciiTheme="majorHAnsi" w:hAnsiTheme="majorHAnsi"/>
          <w:i/>
          <w:color w:val="auto"/>
        </w:rPr>
        <w:t xml:space="preserve">nen Menge an Phosphorsäure enthalten ist. Dennoch ist im Vergleich ersichtlich, dass die Cola noch am wenigsten Phosphorsäure enthält. Spitzenreiter ist das Milchpulver mit 2,5 g/kg. </w:t>
      </w:r>
      <w:r w:rsidR="00C51153">
        <w:rPr>
          <w:rFonts w:asciiTheme="majorHAnsi" w:hAnsiTheme="majorHAnsi"/>
          <w:i/>
          <w:color w:val="auto"/>
        </w:rPr>
        <w:t xml:space="preserve">Die Ergebnisse zeigen zu dem auch, dass die öffentlichen Angaben der Coca Cola-Group der Wahrheit entsprechen und die Höchstmenge nicht überschritten </w:t>
      </w:r>
      <w:r w:rsidR="007B75AF">
        <w:rPr>
          <w:rFonts w:asciiTheme="majorHAnsi" w:hAnsiTheme="majorHAnsi"/>
          <w:i/>
          <w:color w:val="auto"/>
        </w:rPr>
        <w:t>wird.</w:t>
      </w:r>
    </w:p>
    <w:p w:rsidR="00B245F8" w:rsidRDefault="00B245F8" w:rsidP="00B245F8">
      <w:pPr>
        <w:pStyle w:val="berschrift1"/>
      </w:pPr>
      <w:bookmarkStart w:id="14" w:name="_Toc457758480"/>
      <w:r>
        <w:lastRenderedPageBreak/>
        <w:t>Literaturangaben</w:t>
      </w:r>
      <w:bookmarkEnd w:id="14"/>
    </w:p>
    <w:p w:rsidR="00B245F8" w:rsidRPr="00B245F8" w:rsidRDefault="000D6442" w:rsidP="00B245F8">
      <w:r>
        <w:t xml:space="preserve">[6] </w:t>
      </w:r>
      <w:r>
        <w:tab/>
        <w:t xml:space="preserve">H. Kreutz, </w:t>
      </w:r>
      <w:r w:rsidR="00B245F8" w:rsidRPr="00B245F8">
        <w:t>http://www.zusatzstoffe-onli</w:t>
      </w:r>
      <w:r w:rsidR="00B245F8">
        <w:t>-</w:t>
      </w:r>
      <w:r w:rsidR="00B245F8" w:rsidRPr="00B245F8">
        <w:tab/>
        <w:t>ne.de/</w:t>
      </w:r>
      <w:proofErr w:type="spellStart"/>
      <w:r w:rsidR="00B245F8" w:rsidRPr="00B245F8">
        <w:t>zusatzstoffe</w:t>
      </w:r>
      <w:proofErr w:type="spellEnd"/>
      <w:r w:rsidR="00B245F8" w:rsidRPr="00B245F8">
        <w:t>/122.e338_phosphors%E4ure.html</w:t>
      </w:r>
      <w:r w:rsidR="00B245F8">
        <w:t xml:space="preserve">, 31,07.16 (Zuletzt abgerufen am </w:t>
      </w:r>
      <w:r w:rsidR="00B245F8">
        <w:tab/>
        <w:t>31.07.16).</w:t>
      </w:r>
      <w:bookmarkStart w:id="15" w:name="_GoBack"/>
      <w:bookmarkEnd w:id="15"/>
    </w:p>
    <w:sectPr w:rsidR="00B245F8" w:rsidRPr="00B245F8" w:rsidSect="00A0582F">
      <w:headerReference w:type="default" r:id="rId40"/>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A28" w:rsidRDefault="00D33A28" w:rsidP="0086227B">
      <w:pPr>
        <w:spacing w:after="0" w:line="240" w:lineRule="auto"/>
      </w:pPr>
      <w:r>
        <w:separator/>
      </w:r>
    </w:p>
  </w:endnote>
  <w:endnote w:type="continuationSeparator" w:id="0">
    <w:p w:rsidR="00D33A28" w:rsidRDefault="00D33A28"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607413"/>
      <w:docPartObj>
        <w:docPartGallery w:val="Page Numbers (Bottom of Page)"/>
        <w:docPartUnique/>
      </w:docPartObj>
    </w:sdtPr>
    <w:sdtContent>
      <w:p w:rsidR="00777888" w:rsidRDefault="00D837BB">
        <w:pPr>
          <w:pStyle w:val="Fuzeile"/>
          <w:jc w:val="right"/>
        </w:pPr>
        <w:fldSimple w:instr="PAGE   \* MERGEFORMAT">
          <w:r w:rsidR="003A32AB">
            <w:rPr>
              <w:noProof/>
            </w:rPr>
            <w:t>1</w:t>
          </w:r>
        </w:fldSimple>
      </w:p>
    </w:sdtContent>
  </w:sdt>
  <w:p w:rsidR="00777888" w:rsidRDefault="00777888">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A28" w:rsidRDefault="00D33A28" w:rsidP="0086227B">
      <w:pPr>
        <w:spacing w:after="0" w:line="240" w:lineRule="auto"/>
      </w:pPr>
      <w:r>
        <w:separator/>
      </w:r>
    </w:p>
  </w:footnote>
  <w:footnote w:type="continuationSeparator" w:id="0">
    <w:p w:rsidR="00D33A28" w:rsidRDefault="00D33A28"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777888" w:rsidRPr="0080101C" w:rsidRDefault="00D837BB" w:rsidP="00337B69">
        <w:pPr>
          <w:pStyle w:val="Kopfzeile"/>
          <w:tabs>
            <w:tab w:val="left" w:pos="0"/>
            <w:tab w:val="left" w:pos="284"/>
          </w:tabs>
          <w:jc w:val="right"/>
          <w:rPr>
            <w:rFonts w:asciiTheme="majorHAnsi" w:hAnsiTheme="majorHAnsi"/>
            <w:sz w:val="20"/>
            <w:szCs w:val="20"/>
          </w:rPr>
        </w:pPr>
        <w:fldSimple w:instr=" STYLEREF  &quot;Überschrift 1&quot; \n  \* MERGEFORMAT ">
          <w:r w:rsidR="003A32AB" w:rsidRPr="003A32AB">
            <w:rPr>
              <w:b/>
              <w:bCs/>
              <w:noProof/>
              <w:sz w:val="20"/>
            </w:rPr>
            <w:t>1</w:t>
          </w:r>
        </w:fldSimple>
        <w:r w:rsidR="00777888" w:rsidRPr="00AA612B">
          <w:rPr>
            <w:rFonts w:asciiTheme="majorHAnsi" w:hAnsiTheme="majorHAnsi" w:cs="Arial"/>
            <w:sz w:val="20"/>
            <w:szCs w:val="20"/>
          </w:rPr>
          <w:t xml:space="preserve"> </w:t>
        </w:r>
        <w:fldSimple w:instr=" STYLEREF  &quot;Überschrift 1&quot;  \* MERGEFORMAT ">
          <w:r w:rsidR="003A32AB">
            <w:rPr>
              <w:noProof/>
            </w:rPr>
            <w:t>Beschreibung des Themas und zugehörige Lernziele</w:t>
          </w:r>
        </w:fldSimple>
        <w:r w:rsidR="00777888" w:rsidRPr="0080101C">
          <w:rPr>
            <w:rFonts w:asciiTheme="majorHAnsi" w:hAnsiTheme="majorHAnsi"/>
            <w:sz w:val="20"/>
            <w:szCs w:val="20"/>
          </w:rPr>
          <w:tab/>
        </w:r>
        <w:r w:rsidR="00777888" w:rsidRPr="0080101C">
          <w:rPr>
            <w:rFonts w:asciiTheme="majorHAnsi" w:hAnsiTheme="majorHAnsi"/>
            <w:sz w:val="20"/>
            <w:szCs w:val="20"/>
          </w:rPr>
          <w:tab/>
        </w:r>
        <w:r w:rsidR="00777888" w:rsidRPr="0080101C">
          <w:rPr>
            <w:rFonts w:asciiTheme="majorHAnsi" w:hAnsiTheme="majorHAnsi" w:cs="Arial"/>
            <w:sz w:val="20"/>
            <w:szCs w:val="20"/>
          </w:rPr>
          <w:t xml:space="preserve"> </w:t>
        </w:r>
      </w:p>
    </w:sdtContent>
  </w:sdt>
  <w:p w:rsidR="00777888" w:rsidRPr="00337B69" w:rsidRDefault="00D837BB"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777888" w:rsidRPr="00337B69" w:rsidRDefault="00D837BB"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777888" w:rsidRPr="0080101C" w:rsidRDefault="00D837BB" w:rsidP="0049087A">
        <w:pPr>
          <w:pStyle w:val="Kopfzeile"/>
          <w:tabs>
            <w:tab w:val="left" w:pos="0"/>
            <w:tab w:val="left" w:pos="284"/>
          </w:tabs>
          <w:jc w:val="right"/>
          <w:rPr>
            <w:rFonts w:asciiTheme="majorHAnsi" w:hAnsiTheme="majorHAnsi"/>
            <w:sz w:val="20"/>
            <w:szCs w:val="20"/>
          </w:rPr>
        </w:pPr>
        <w:fldSimple w:instr=" STYLEREF  &quot;Überschrift 1&quot; \n  \* MERGEFORMAT ">
          <w:r w:rsidR="003A32AB" w:rsidRPr="003A32AB">
            <w:rPr>
              <w:b/>
              <w:bCs/>
              <w:noProof/>
              <w:sz w:val="20"/>
            </w:rPr>
            <w:t>5</w:t>
          </w:r>
        </w:fldSimple>
        <w:r w:rsidR="00777888" w:rsidRPr="00AA612B">
          <w:rPr>
            <w:rFonts w:asciiTheme="majorHAnsi" w:hAnsiTheme="majorHAnsi" w:cs="Arial"/>
            <w:sz w:val="20"/>
            <w:szCs w:val="20"/>
          </w:rPr>
          <w:t xml:space="preserve"> </w:t>
        </w:r>
        <w:fldSimple w:instr=" STYLEREF  &quot;Überschrift 1&quot;  \* MERGEFORMAT ">
          <w:r w:rsidR="003A32AB">
            <w:rPr>
              <w:noProof/>
            </w:rPr>
            <w:t>Didaktischer Kommentar zum Schülerarbeitsblatt</w:t>
          </w:r>
        </w:fldSimple>
        <w:r w:rsidR="00777888" w:rsidRPr="0080101C">
          <w:rPr>
            <w:rFonts w:asciiTheme="majorHAnsi" w:hAnsiTheme="majorHAnsi"/>
            <w:sz w:val="20"/>
            <w:szCs w:val="20"/>
          </w:rPr>
          <w:tab/>
        </w:r>
        <w:r w:rsidR="00777888" w:rsidRPr="0080101C">
          <w:rPr>
            <w:rFonts w:asciiTheme="majorHAnsi" w:hAnsiTheme="majorHAnsi"/>
            <w:sz w:val="20"/>
            <w:szCs w:val="20"/>
          </w:rPr>
          <w:tab/>
        </w:r>
        <w:r w:rsidR="00777888" w:rsidRPr="0080101C">
          <w:rPr>
            <w:rFonts w:asciiTheme="majorHAnsi" w:hAnsiTheme="majorHAnsi" w:cs="Arial"/>
            <w:sz w:val="20"/>
            <w:szCs w:val="20"/>
          </w:rPr>
          <w:t xml:space="preserve"> </w:t>
        </w:r>
      </w:p>
    </w:sdtContent>
  </w:sdt>
  <w:p w:rsidR="00777888" w:rsidRPr="0080101C" w:rsidRDefault="00D837BB"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451190"/>
    <w:multiLevelType w:val="multilevel"/>
    <w:tmpl w:val="E21E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4801A69"/>
    <w:multiLevelType w:val="hybridMultilevel"/>
    <w:tmpl w:val="1EDA1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76B221A"/>
    <w:multiLevelType w:val="hybridMultilevel"/>
    <w:tmpl w:val="6090FC18"/>
    <w:lvl w:ilvl="0" w:tplc="B824C14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4"/>
  </w:num>
  <w:num w:numId="19">
    <w:abstractNumId w:val="0"/>
  </w:num>
  <w:num w:numId="20">
    <w:abstractNumId w:val="5"/>
  </w:num>
  <w:num w:numId="21">
    <w:abstractNumId w:val="9"/>
  </w:num>
  <w:num w:numId="22">
    <w:abstractNumId w:val="9"/>
  </w:num>
  <w:num w:numId="23">
    <w:abstractNumId w:val="9"/>
  </w:num>
  <w:num w:numId="24">
    <w:abstractNumId w:val="9"/>
  </w:num>
  <w:num w:numId="25">
    <w:abstractNumId w:val="9"/>
  </w:num>
  <w:num w:numId="26">
    <w:abstractNumId w:val="12"/>
  </w:num>
  <w:num w:numId="27">
    <w:abstractNumId w:val="13"/>
  </w:num>
  <w:num w:numId="2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stian Hollemann">
    <w15:presenceInfo w15:providerId="None" w15:userId="Bastian Hollemann"/>
  </w15:person>
  <w15:person w15:author="Holle">
    <w15:presenceInfo w15:providerId="None" w15:userId="Holl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autoHyphenation/>
  <w:hyphenationZone w:val="425"/>
  <w:drawingGridHorizontalSpacing w:val="110"/>
  <w:displayHorizontalDrawingGridEvery w:val="2"/>
  <w:characterSpacingControl w:val="doNotCompress"/>
  <w:hdrShapeDefaults>
    <o:shapedefaults v:ext="edit" spidmax="614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1514"/>
    <w:rsid w:val="00007E3F"/>
    <w:rsid w:val="00011800"/>
    <w:rsid w:val="00012C38"/>
    <w:rsid w:val="000137A3"/>
    <w:rsid w:val="00014E7D"/>
    <w:rsid w:val="00016435"/>
    <w:rsid w:val="00022871"/>
    <w:rsid w:val="00033D77"/>
    <w:rsid w:val="00037556"/>
    <w:rsid w:val="00041562"/>
    <w:rsid w:val="000425B2"/>
    <w:rsid w:val="00056798"/>
    <w:rsid w:val="0006287D"/>
    <w:rsid w:val="0006684E"/>
    <w:rsid w:val="00066DE1"/>
    <w:rsid w:val="00067AEC"/>
    <w:rsid w:val="000701C2"/>
    <w:rsid w:val="000714FE"/>
    <w:rsid w:val="00072812"/>
    <w:rsid w:val="00073637"/>
    <w:rsid w:val="00073D14"/>
    <w:rsid w:val="00074A34"/>
    <w:rsid w:val="0007729E"/>
    <w:rsid w:val="000972FF"/>
    <w:rsid w:val="000B0FC6"/>
    <w:rsid w:val="000C25C6"/>
    <w:rsid w:val="000C4EB4"/>
    <w:rsid w:val="000C5E56"/>
    <w:rsid w:val="000D10FB"/>
    <w:rsid w:val="000D1D5D"/>
    <w:rsid w:val="000D2C37"/>
    <w:rsid w:val="000D5E69"/>
    <w:rsid w:val="000D6442"/>
    <w:rsid w:val="000D7381"/>
    <w:rsid w:val="000E0EBE"/>
    <w:rsid w:val="000E21A7"/>
    <w:rsid w:val="000E7DB1"/>
    <w:rsid w:val="000F06DC"/>
    <w:rsid w:val="000F5EEC"/>
    <w:rsid w:val="001022B4"/>
    <w:rsid w:val="001027A9"/>
    <w:rsid w:val="00102C4C"/>
    <w:rsid w:val="001045D1"/>
    <w:rsid w:val="0011608C"/>
    <w:rsid w:val="0012481E"/>
    <w:rsid w:val="00125CEA"/>
    <w:rsid w:val="00126F37"/>
    <w:rsid w:val="00133F9A"/>
    <w:rsid w:val="0013576E"/>
    <w:rsid w:val="0013621E"/>
    <w:rsid w:val="00151A65"/>
    <w:rsid w:val="00153EA8"/>
    <w:rsid w:val="00157F3D"/>
    <w:rsid w:val="00160F4A"/>
    <w:rsid w:val="001827B5"/>
    <w:rsid w:val="00185FAC"/>
    <w:rsid w:val="00197B60"/>
    <w:rsid w:val="001A7524"/>
    <w:rsid w:val="001B46E0"/>
    <w:rsid w:val="001C2353"/>
    <w:rsid w:val="001C5EFC"/>
    <w:rsid w:val="001D1D5A"/>
    <w:rsid w:val="001E36E7"/>
    <w:rsid w:val="001F1653"/>
    <w:rsid w:val="001F5106"/>
    <w:rsid w:val="00203E23"/>
    <w:rsid w:val="00206D6B"/>
    <w:rsid w:val="00212550"/>
    <w:rsid w:val="00212852"/>
    <w:rsid w:val="00216E3C"/>
    <w:rsid w:val="0023066D"/>
    <w:rsid w:val="0023241F"/>
    <w:rsid w:val="002347FE"/>
    <w:rsid w:val="002375EF"/>
    <w:rsid w:val="00253364"/>
    <w:rsid w:val="00254F3F"/>
    <w:rsid w:val="00260403"/>
    <w:rsid w:val="002674A8"/>
    <w:rsid w:val="00270289"/>
    <w:rsid w:val="002708D1"/>
    <w:rsid w:val="0028080E"/>
    <w:rsid w:val="00281905"/>
    <w:rsid w:val="00282F85"/>
    <w:rsid w:val="0028646F"/>
    <w:rsid w:val="002944CF"/>
    <w:rsid w:val="002A1520"/>
    <w:rsid w:val="002A344C"/>
    <w:rsid w:val="002A716F"/>
    <w:rsid w:val="002A7855"/>
    <w:rsid w:val="002B0B14"/>
    <w:rsid w:val="002E0858"/>
    <w:rsid w:val="002E0F34"/>
    <w:rsid w:val="002E2DD3"/>
    <w:rsid w:val="002E38A0"/>
    <w:rsid w:val="002E52D7"/>
    <w:rsid w:val="002E5FCC"/>
    <w:rsid w:val="002F25D2"/>
    <w:rsid w:val="002F2B00"/>
    <w:rsid w:val="002F38EE"/>
    <w:rsid w:val="00300788"/>
    <w:rsid w:val="00323743"/>
    <w:rsid w:val="00323CB1"/>
    <w:rsid w:val="00327B26"/>
    <w:rsid w:val="00333822"/>
    <w:rsid w:val="00334BE5"/>
    <w:rsid w:val="0033677B"/>
    <w:rsid w:val="00336B3B"/>
    <w:rsid w:val="00337B69"/>
    <w:rsid w:val="0034157F"/>
    <w:rsid w:val="00344BB7"/>
    <w:rsid w:val="00345293"/>
    <w:rsid w:val="00345F54"/>
    <w:rsid w:val="003475A1"/>
    <w:rsid w:val="003536C5"/>
    <w:rsid w:val="0035552C"/>
    <w:rsid w:val="00361B49"/>
    <w:rsid w:val="00362CB4"/>
    <w:rsid w:val="00364CAD"/>
    <w:rsid w:val="0038284A"/>
    <w:rsid w:val="003837C2"/>
    <w:rsid w:val="00384682"/>
    <w:rsid w:val="0039183F"/>
    <w:rsid w:val="00391C0C"/>
    <w:rsid w:val="00394469"/>
    <w:rsid w:val="003962C5"/>
    <w:rsid w:val="003A32AB"/>
    <w:rsid w:val="003A5A10"/>
    <w:rsid w:val="003B49C6"/>
    <w:rsid w:val="003C5747"/>
    <w:rsid w:val="003C6AFD"/>
    <w:rsid w:val="003D529E"/>
    <w:rsid w:val="003D70AB"/>
    <w:rsid w:val="003E148E"/>
    <w:rsid w:val="003E69AB"/>
    <w:rsid w:val="003F4E9C"/>
    <w:rsid w:val="00401750"/>
    <w:rsid w:val="004102B8"/>
    <w:rsid w:val="0041565C"/>
    <w:rsid w:val="0042608B"/>
    <w:rsid w:val="00434572"/>
    <w:rsid w:val="00434D4E"/>
    <w:rsid w:val="00434F30"/>
    <w:rsid w:val="00442EB1"/>
    <w:rsid w:val="00457FD9"/>
    <w:rsid w:val="004857A4"/>
    <w:rsid w:val="00486C9F"/>
    <w:rsid w:val="0049087A"/>
    <w:rsid w:val="00492839"/>
    <w:rsid w:val="004944F3"/>
    <w:rsid w:val="00497B79"/>
    <w:rsid w:val="004B200E"/>
    <w:rsid w:val="004B3E0E"/>
    <w:rsid w:val="004C64A6"/>
    <w:rsid w:val="004D2994"/>
    <w:rsid w:val="004F1604"/>
    <w:rsid w:val="004F1A17"/>
    <w:rsid w:val="004F4DEE"/>
    <w:rsid w:val="004F533F"/>
    <w:rsid w:val="005011EF"/>
    <w:rsid w:val="00503C6A"/>
    <w:rsid w:val="005115B1"/>
    <w:rsid w:val="00511B2E"/>
    <w:rsid w:val="005131C3"/>
    <w:rsid w:val="005228A9"/>
    <w:rsid w:val="005240FE"/>
    <w:rsid w:val="00526F69"/>
    <w:rsid w:val="00527710"/>
    <w:rsid w:val="00530A18"/>
    <w:rsid w:val="00532CD5"/>
    <w:rsid w:val="0053580F"/>
    <w:rsid w:val="00535832"/>
    <w:rsid w:val="00544922"/>
    <w:rsid w:val="005650D4"/>
    <w:rsid w:val="0056694B"/>
    <w:rsid w:val="005669B2"/>
    <w:rsid w:val="00573704"/>
    <w:rsid w:val="00574063"/>
    <w:rsid w:val="005745F8"/>
    <w:rsid w:val="0057596C"/>
    <w:rsid w:val="00583696"/>
    <w:rsid w:val="00591B02"/>
    <w:rsid w:val="00595177"/>
    <w:rsid w:val="005978FA"/>
    <w:rsid w:val="005A2E89"/>
    <w:rsid w:val="005A6EE1"/>
    <w:rsid w:val="005B1F71"/>
    <w:rsid w:val="005B23FC"/>
    <w:rsid w:val="005B60E3"/>
    <w:rsid w:val="005B7716"/>
    <w:rsid w:val="005E0499"/>
    <w:rsid w:val="005E1939"/>
    <w:rsid w:val="005E19BC"/>
    <w:rsid w:val="005E3970"/>
    <w:rsid w:val="005F17E5"/>
    <w:rsid w:val="005F2176"/>
    <w:rsid w:val="00611ACE"/>
    <w:rsid w:val="00624B6A"/>
    <w:rsid w:val="00626874"/>
    <w:rsid w:val="00631F0F"/>
    <w:rsid w:val="00637239"/>
    <w:rsid w:val="00654117"/>
    <w:rsid w:val="0067177A"/>
    <w:rsid w:val="00672281"/>
    <w:rsid w:val="006753BC"/>
    <w:rsid w:val="00681739"/>
    <w:rsid w:val="00683C63"/>
    <w:rsid w:val="00690534"/>
    <w:rsid w:val="006943C9"/>
    <w:rsid w:val="006966EA"/>
    <w:rsid w:val="006968E6"/>
    <w:rsid w:val="006A0F35"/>
    <w:rsid w:val="006B3EC2"/>
    <w:rsid w:val="006C5B0D"/>
    <w:rsid w:val="006C7B24"/>
    <w:rsid w:val="006D2D51"/>
    <w:rsid w:val="006E32AF"/>
    <w:rsid w:val="006E451C"/>
    <w:rsid w:val="006E4BEF"/>
    <w:rsid w:val="006F225F"/>
    <w:rsid w:val="006F4715"/>
    <w:rsid w:val="00707392"/>
    <w:rsid w:val="00712333"/>
    <w:rsid w:val="0072123D"/>
    <w:rsid w:val="00723D16"/>
    <w:rsid w:val="007318CA"/>
    <w:rsid w:val="00746773"/>
    <w:rsid w:val="00746D30"/>
    <w:rsid w:val="00775EEC"/>
    <w:rsid w:val="00777888"/>
    <w:rsid w:val="00777D1B"/>
    <w:rsid w:val="0078071E"/>
    <w:rsid w:val="0079088F"/>
    <w:rsid w:val="00790D3B"/>
    <w:rsid w:val="00795F37"/>
    <w:rsid w:val="00797E60"/>
    <w:rsid w:val="007A1C74"/>
    <w:rsid w:val="007A7941"/>
    <w:rsid w:val="007A7FA8"/>
    <w:rsid w:val="007B49FD"/>
    <w:rsid w:val="007B4BAE"/>
    <w:rsid w:val="007B75AF"/>
    <w:rsid w:val="007C49ED"/>
    <w:rsid w:val="007E586C"/>
    <w:rsid w:val="007E7412"/>
    <w:rsid w:val="007F2348"/>
    <w:rsid w:val="007F767D"/>
    <w:rsid w:val="00801678"/>
    <w:rsid w:val="008042F5"/>
    <w:rsid w:val="00815FB9"/>
    <w:rsid w:val="0082230A"/>
    <w:rsid w:val="00825C2E"/>
    <w:rsid w:val="00837114"/>
    <w:rsid w:val="00837B11"/>
    <w:rsid w:val="008411EE"/>
    <w:rsid w:val="0086227B"/>
    <w:rsid w:val="008664DF"/>
    <w:rsid w:val="00875E5B"/>
    <w:rsid w:val="0088205D"/>
    <w:rsid w:val="0088451A"/>
    <w:rsid w:val="00891826"/>
    <w:rsid w:val="00891B01"/>
    <w:rsid w:val="00896D5A"/>
    <w:rsid w:val="008A5D98"/>
    <w:rsid w:val="008B098F"/>
    <w:rsid w:val="008B3865"/>
    <w:rsid w:val="008B457A"/>
    <w:rsid w:val="008B5C95"/>
    <w:rsid w:val="008B7FD6"/>
    <w:rsid w:val="008C6587"/>
    <w:rsid w:val="008C71EE"/>
    <w:rsid w:val="008D0ED6"/>
    <w:rsid w:val="008D547D"/>
    <w:rsid w:val="008D67B2"/>
    <w:rsid w:val="008E12F8"/>
    <w:rsid w:val="008E1A25"/>
    <w:rsid w:val="008E345D"/>
    <w:rsid w:val="00900E24"/>
    <w:rsid w:val="00904FCC"/>
    <w:rsid w:val="00905459"/>
    <w:rsid w:val="00913716"/>
    <w:rsid w:val="00913D97"/>
    <w:rsid w:val="00916055"/>
    <w:rsid w:val="00920C6C"/>
    <w:rsid w:val="00924A09"/>
    <w:rsid w:val="00936F75"/>
    <w:rsid w:val="00937024"/>
    <w:rsid w:val="00940DBD"/>
    <w:rsid w:val="009414ED"/>
    <w:rsid w:val="00941C2F"/>
    <w:rsid w:val="0094350A"/>
    <w:rsid w:val="009461D2"/>
    <w:rsid w:val="00946F4E"/>
    <w:rsid w:val="00954DC8"/>
    <w:rsid w:val="009558BE"/>
    <w:rsid w:val="0095746E"/>
    <w:rsid w:val="00961647"/>
    <w:rsid w:val="009626D9"/>
    <w:rsid w:val="00971E91"/>
    <w:rsid w:val="009735A3"/>
    <w:rsid w:val="00973C54"/>
    <w:rsid w:val="00973F3F"/>
    <w:rsid w:val="009750CE"/>
    <w:rsid w:val="00975A31"/>
    <w:rsid w:val="009775D7"/>
    <w:rsid w:val="00977ED8"/>
    <w:rsid w:val="0098168E"/>
    <w:rsid w:val="009818EF"/>
    <w:rsid w:val="00993407"/>
    <w:rsid w:val="00994634"/>
    <w:rsid w:val="00996A46"/>
    <w:rsid w:val="009A3BCF"/>
    <w:rsid w:val="009B0D3F"/>
    <w:rsid w:val="009B2D17"/>
    <w:rsid w:val="009B3E1D"/>
    <w:rsid w:val="009B781F"/>
    <w:rsid w:val="009C6F21"/>
    <w:rsid w:val="009C7687"/>
    <w:rsid w:val="009D150C"/>
    <w:rsid w:val="009D4BD9"/>
    <w:rsid w:val="009E7754"/>
    <w:rsid w:val="009F0667"/>
    <w:rsid w:val="009F0CE9"/>
    <w:rsid w:val="009F5A39"/>
    <w:rsid w:val="009F61D4"/>
    <w:rsid w:val="00A006C3"/>
    <w:rsid w:val="00A012CE"/>
    <w:rsid w:val="00A0582F"/>
    <w:rsid w:val="00A05C2F"/>
    <w:rsid w:val="00A070D9"/>
    <w:rsid w:val="00A2136F"/>
    <w:rsid w:val="00A2301A"/>
    <w:rsid w:val="00A24EE6"/>
    <w:rsid w:val="00A31A49"/>
    <w:rsid w:val="00A4508D"/>
    <w:rsid w:val="00A61671"/>
    <w:rsid w:val="00A7439F"/>
    <w:rsid w:val="00A75F0A"/>
    <w:rsid w:val="00A761F8"/>
    <w:rsid w:val="00A778C9"/>
    <w:rsid w:val="00A90BD6"/>
    <w:rsid w:val="00A9233D"/>
    <w:rsid w:val="00A96F52"/>
    <w:rsid w:val="00AA604B"/>
    <w:rsid w:val="00AA612B"/>
    <w:rsid w:val="00AA6C94"/>
    <w:rsid w:val="00AB16AD"/>
    <w:rsid w:val="00AC0D89"/>
    <w:rsid w:val="00AD0C24"/>
    <w:rsid w:val="00AD50EE"/>
    <w:rsid w:val="00AD7D1F"/>
    <w:rsid w:val="00AE1230"/>
    <w:rsid w:val="00AE4A3A"/>
    <w:rsid w:val="00B02829"/>
    <w:rsid w:val="00B14130"/>
    <w:rsid w:val="00B21F20"/>
    <w:rsid w:val="00B245F8"/>
    <w:rsid w:val="00B433C0"/>
    <w:rsid w:val="00B51643"/>
    <w:rsid w:val="00B51B39"/>
    <w:rsid w:val="00B571E6"/>
    <w:rsid w:val="00B619BB"/>
    <w:rsid w:val="00B67A50"/>
    <w:rsid w:val="00B825FB"/>
    <w:rsid w:val="00B867C4"/>
    <w:rsid w:val="00B901F6"/>
    <w:rsid w:val="00B93BBF"/>
    <w:rsid w:val="00B93F89"/>
    <w:rsid w:val="00B96C3C"/>
    <w:rsid w:val="00B96C95"/>
    <w:rsid w:val="00BA0E9B"/>
    <w:rsid w:val="00BA1255"/>
    <w:rsid w:val="00BA2C51"/>
    <w:rsid w:val="00BC04E0"/>
    <w:rsid w:val="00BC1B04"/>
    <w:rsid w:val="00BC349B"/>
    <w:rsid w:val="00BC4F56"/>
    <w:rsid w:val="00BD1D31"/>
    <w:rsid w:val="00BF2E3A"/>
    <w:rsid w:val="00BF7B08"/>
    <w:rsid w:val="00C02CA6"/>
    <w:rsid w:val="00C0569E"/>
    <w:rsid w:val="00C05C0B"/>
    <w:rsid w:val="00C10E22"/>
    <w:rsid w:val="00C12650"/>
    <w:rsid w:val="00C1642B"/>
    <w:rsid w:val="00C16C40"/>
    <w:rsid w:val="00C23319"/>
    <w:rsid w:val="00C253B9"/>
    <w:rsid w:val="00C26C18"/>
    <w:rsid w:val="00C33D57"/>
    <w:rsid w:val="00C364B2"/>
    <w:rsid w:val="00C428C7"/>
    <w:rsid w:val="00C42F06"/>
    <w:rsid w:val="00C43286"/>
    <w:rsid w:val="00C460EB"/>
    <w:rsid w:val="00C51153"/>
    <w:rsid w:val="00C51D56"/>
    <w:rsid w:val="00C6327F"/>
    <w:rsid w:val="00C638E6"/>
    <w:rsid w:val="00C66C19"/>
    <w:rsid w:val="00C66D91"/>
    <w:rsid w:val="00C906FB"/>
    <w:rsid w:val="00CA6231"/>
    <w:rsid w:val="00CB2161"/>
    <w:rsid w:val="00CC307A"/>
    <w:rsid w:val="00CC42C7"/>
    <w:rsid w:val="00CE1F14"/>
    <w:rsid w:val="00CE3CD8"/>
    <w:rsid w:val="00CE5A25"/>
    <w:rsid w:val="00CE6D3D"/>
    <w:rsid w:val="00CF0B61"/>
    <w:rsid w:val="00CF25D0"/>
    <w:rsid w:val="00CF79FE"/>
    <w:rsid w:val="00D069A2"/>
    <w:rsid w:val="00D1194E"/>
    <w:rsid w:val="00D20932"/>
    <w:rsid w:val="00D25E19"/>
    <w:rsid w:val="00D31B5B"/>
    <w:rsid w:val="00D3342C"/>
    <w:rsid w:val="00D33A28"/>
    <w:rsid w:val="00D36572"/>
    <w:rsid w:val="00D407E8"/>
    <w:rsid w:val="00D41F83"/>
    <w:rsid w:val="00D423D9"/>
    <w:rsid w:val="00D54590"/>
    <w:rsid w:val="00D55AD1"/>
    <w:rsid w:val="00D60010"/>
    <w:rsid w:val="00D64B7A"/>
    <w:rsid w:val="00D64EB8"/>
    <w:rsid w:val="00D768D0"/>
    <w:rsid w:val="00D76EE6"/>
    <w:rsid w:val="00D76F6F"/>
    <w:rsid w:val="00D77B9E"/>
    <w:rsid w:val="00D837BB"/>
    <w:rsid w:val="00D90F31"/>
    <w:rsid w:val="00D92822"/>
    <w:rsid w:val="00DA6545"/>
    <w:rsid w:val="00DC0309"/>
    <w:rsid w:val="00DE18A7"/>
    <w:rsid w:val="00E17CDE"/>
    <w:rsid w:val="00E22516"/>
    <w:rsid w:val="00E22D23"/>
    <w:rsid w:val="00E24354"/>
    <w:rsid w:val="00E2538D"/>
    <w:rsid w:val="00E26180"/>
    <w:rsid w:val="00E267AE"/>
    <w:rsid w:val="00E4236B"/>
    <w:rsid w:val="00E51037"/>
    <w:rsid w:val="00E54798"/>
    <w:rsid w:val="00E57932"/>
    <w:rsid w:val="00E670D3"/>
    <w:rsid w:val="00E82760"/>
    <w:rsid w:val="00E84393"/>
    <w:rsid w:val="00E848FE"/>
    <w:rsid w:val="00E866D8"/>
    <w:rsid w:val="00E91F32"/>
    <w:rsid w:val="00E92173"/>
    <w:rsid w:val="00E96A35"/>
    <w:rsid w:val="00E96AD6"/>
    <w:rsid w:val="00EB0C1A"/>
    <w:rsid w:val="00EB3DFE"/>
    <w:rsid w:val="00EB3EA7"/>
    <w:rsid w:val="00EB6DB7"/>
    <w:rsid w:val="00EC2C8A"/>
    <w:rsid w:val="00EC64CC"/>
    <w:rsid w:val="00ED07C2"/>
    <w:rsid w:val="00ED1F5D"/>
    <w:rsid w:val="00ED75E1"/>
    <w:rsid w:val="00EE1EFF"/>
    <w:rsid w:val="00EE2E7C"/>
    <w:rsid w:val="00EE79E0"/>
    <w:rsid w:val="00EF161C"/>
    <w:rsid w:val="00EF5479"/>
    <w:rsid w:val="00F002B1"/>
    <w:rsid w:val="00F17765"/>
    <w:rsid w:val="00F17797"/>
    <w:rsid w:val="00F2604C"/>
    <w:rsid w:val="00F26486"/>
    <w:rsid w:val="00F31EBF"/>
    <w:rsid w:val="00F32AFD"/>
    <w:rsid w:val="00F3487A"/>
    <w:rsid w:val="00F36A3C"/>
    <w:rsid w:val="00F42B1C"/>
    <w:rsid w:val="00F4558B"/>
    <w:rsid w:val="00F526AE"/>
    <w:rsid w:val="00F53A66"/>
    <w:rsid w:val="00F67FFD"/>
    <w:rsid w:val="00F74A95"/>
    <w:rsid w:val="00F849B0"/>
    <w:rsid w:val="00F963B4"/>
    <w:rsid w:val="00FA2A15"/>
    <w:rsid w:val="00FA486B"/>
    <w:rsid w:val="00FA4C35"/>
    <w:rsid w:val="00FA58C5"/>
    <w:rsid w:val="00FA6653"/>
    <w:rsid w:val="00FB3D74"/>
    <w:rsid w:val="00FC02BE"/>
    <w:rsid w:val="00FD13F4"/>
    <w:rsid w:val="00FD644E"/>
    <w:rsid w:val="00FE54D8"/>
    <w:rsid w:val="00FF03F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HTMLZitat">
    <w:name w:val="HTML Cite"/>
    <w:basedOn w:val="Absatz-Standardschriftart"/>
    <w:uiPriority w:val="99"/>
    <w:semiHidden/>
    <w:unhideWhenUsed/>
    <w:rsid w:val="00FD13F4"/>
    <w:rPr>
      <w:i/>
      <w:iCs/>
    </w:rPr>
  </w:style>
  <w:style w:type="paragraph" w:customStyle="1" w:styleId="contentbody">
    <w:name w:val="contentbody"/>
    <w:basedOn w:val="Standard"/>
    <w:rsid w:val="00B93F89"/>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styleId="Kommentarzeichen">
    <w:name w:val="annotation reference"/>
    <w:basedOn w:val="Absatz-Standardschriftart"/>
    <w:uiPriority w:val="99"/>
    <w:semiHidden/>
    <w:unhideWhenUsed/>
    <w:rsid w:val="000D6442"/>
    <w:rPr>
      <w:sz w:val="16"/>
      <w:szCs w:val="16"/>
    </w:rPr>
  </w:style>
  <w:style w:type="paragraph" w:styleId="Kommentartext">
    <w:name w:val="annotation text"/>
    <w:basedOn w:val="Standard"/>
    <w:link w:val="KommentartextZchn"/>
    <w:uiPriority w:val="99"/>
    <w:semiHidden/>
    <w:unhideWhenUsed/>
    <w:rsid w:val="000D644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D6442"/>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0D6442"/>
    <w:rPr>
      <w:b/>
      <w:bCs/>
    </w:rPr>
  </w:style>
  <w:style w:type="character" w:customStyle="1" w:styleId="KommentarthemaZchn">
    <w:name w:val="Kommentarthema Zchn"/>
    <w:basedOn w:val="KommentartextZchn"/>
    <w:link w:val="Kommentarthema"/>
    <w:uiPriority w:val="99"/>
    <w:semiHidden/>
    <w:rsid w:val="000D6442"/>
    <w:rPr>
      <w:rFonts w:ascii="Cambria" w:hAnsi="Cambria"/>
      <w:b/>
      <w:bCs/>
      <w:color w:val="1D1B11" w:themeColor="background2" w:themeShade="1A"/>
      <w:sz w:val="20"/>
      <w:szCs w:val="20"/>
    </w:rPr>
  </w:style>
  <w:style w:type="paragraph" w:styleId="berarbeitung">
    <w:name w:val="Revision"/>
    <w:hidden/>
    <w:uiPriority w:val="99"/>
    <w:semiHidden/>
    <w:rsid w:val="003962C5"/>
    <w:pPr>
      <w:spacing w:after="0" w:line="240" w:lineRule="auto"/>
    </w:pPr>
    <w:rPr>
      <w:rFonts w:ascii="Cambria" w:hAnsi="Cambria"/>
      <w:color w:val="1D1B11" w:themeColor="background2" w:themeShade="1A"/>
    </w:rPr>
  </w:style>
</w:styles>
</file>

<file path=word/webSettings.xml><?xml version="1.0" encoding="utf-8"?>
<w:webSettings xmlns:r="http://schemas.openxmlformats.org/officeDocument/2006/relationships" xmlns:w="http://schemas.openxmlformats.org/wordprocessingml/2006/main">
  <w:divs>
    <w:div w:id="493571491">
      <w:bodyDiv w:val="1"/>
      <w:marLeft w:val="0"/>
      <w:marRight w:val="0"/>
      <w:marTop w:val="0"/>
      <w:marBottom w:val="0"/>
      <w:divBdr>
        <w:top w:val="none" w:sz="0" w:space="0" w:color="auto"/>
        <w:left w:val="none" w:sz="0" w:space="0" w:color="auto"/>
        <w:bottom w:val="none" w:sz="0" w:space="0" w:color="auto"/>
        <w:right w:val="none" w:sz="0" w:space="0" w:color="auto"/>
      </w:divBdr>
    </w:div>
    <w:div w:id="684331343">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istina\Documents\SVP%20CHEMIE\Protokolle%209&amp;10\Titrationskurve%20der%20Col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istina\Documents\SVP%20CHEMIE\Protokolle%209&amp;10\Titrationskurve%20der%20Co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Titrationskurve</a:t>
            </a:r>
            <a:r>
              <a:rPr lang="de-DE" baseline="0"/>
              <a:t> von Cola</a:t>
            </a:r>
            <a:endParaRPr lang="de-DE"/>
          </a:p>
        </c:rich>
      </c:tx>
    </c:title>
    <c:plotArea>
      <c:layout/>
      <c:scatterChart>
        <c:scatterStyle val="smoothMarker"/>
        <c:ser>
          <c:idx val="0"/>
          <c:order val="0"/>
          <c:marker>
            <c:symbol val="none"/>
          </c:marker>
          <c:xVal>
            <c:numRef>
              <c:f>Tabelle1!$A$1:$A$34</c:f>
              <c:numCache>
                <c:formatCode>General</c:formatCode>
                <c:ptCount val="34"/>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9</c:v>
                </c:pt>
                <c:pt idx="18">
                  <c:v>10</c:v>
                </c:pt>
                <c:pt idx="19">
                  <c:v>11</c:v>
                </c:pt>
                <c:pt idx="20">
                  <c:v>12</c:v>
                </c:pt>
                <c:pt idx="21">
                  <c:v>13</c:v>
                </c:pt>
                <c:pt idx="22">
                  <c:v>14</c:v>
                </c:pt>
                <c:pt idx="23">
                  <c:v>15</c:v>
                </c:pt>
                <c:pt idx="24">
                  <c:v>16</c:v>
                </c:pt>
                <c:pt idx="25">
                  <c:v>17</c:v>
                </c:pt>
                <c:pt idx="26">
                  <c:v>17.5</c:v>
                </c:pt>
                <c:pt idx="27">
                  <c:v>18</c:v>
                </c:pt>
                <c:pt idx="28">
                  <c:v>18.5</c:v>
                </c:pt>
                <c:pt idx="29">
                  <c:v>19</c:v>
                </c:pt>
                <c:pt idx="30">
                  <c:v>19.5</c:v>
                </c:pt>
                <c:pt idx="31">
                  <c:v>20</c:v>
                </c:pt>
                <c:pt idx="32">
                  <c:v>20.5</c:v>
                </c:pt>
                <c:pt idx="33">
                  <c:v>21</c:v>
                </c:pt>
              </c:numCache>
            </c:numRef>
          </c:xVal>
          <c:yVal>
            <c:numRef>
              <c:f>Tabelle1!$B$1:$B$34</c:f>
              <c:numCache>
                <c:formatCode>General</c:formatCode>
                <c:ptCount val="34"/>
                <c:pt idx="0">
                  <c:v>2.36</c:v>
                </c:pt>
                <c:pt idx="1">
                  <c:v>2.3699999999999997</c:v>
                </c:pt>
                <c:pt idx="2">
                  <c:v>2.3699999999999997</c:v>
                </c:pt>
                <c:pt idx="3">
                  <c:v>2.38</c:v>
                </c:pt>
                <c:pt idx="4">
                  <c:v>2.3899999999999997</c:v>
                </c:pt>
                <c:pt idx="5">
                  <c:v>2.52</c:v>
                </c:pt>
                <c:pt idx="6">
                  <c:v>2.61</c:v>
                </c:pt>
                <c:pt idx="7">
                  <c:v>2.8099999999999987</c:v>
                </c:pt>
                <c:pt idx="8">
                  <c:v>3.09</c:v>
                </c:pt>
                <c:pt idx="9">
                  <c:v>4.09</c:v>
                </c:pt>
                <c:pt idx="10">
                  <c:v>5.49</c:v>
                </c:pt>
                <c:pt idx="11">
                  <c:v>6.06</c:v>
                </c:pt>
                <c:pt idx="12">
                  <c:v>6.33</c:v>
                </c:pt>
                <c:pt idx="13">
                  <c:v>6.6199999999999966</c:v>
                </c:pt>
                <c:pt idx="14">
                  <c:v>6.8</c:v>
                </c:pt>
                <c:pt idx="15">
                  <c:v>7.01</c:v>
                </c:pt>
                <c:pt idx="16">
                  <c:v>7.21</c:v>
                </c:pt>
                <c:pt idx="17">
                  <c:v>7.72</c:v>
                </c:pt>
                <c:pt idx="18">
                  <c:v>8.52</c:v>
                </c:pt>
                <c:pt idx="19">
                  <c:v>9.18</c:v>
                </c:pt>
                <c:pt idx="20">
                  <c:v>9.5300000000000011</c:v>
                </c:pt>
                <c:pt idx="21">
                  <c:v>9.75</c:v>
                </c:pt>
                <c:pt idx="22">
                  <c:v>9.9</c:v>
                </c:pt>
                <c:pt idx="23">
                  <c:v>10.040000000000001</c:v>
                </c:pt>
                <c:pt idx="24">
                  <c:v>10.120000000000001</c:v>
                </c:pt>
                <c:pt idx="25">
                  <c:v>10.220000000000001</c:v>
                </c:pt>
                <c:pt idx="26">
                  <c:v>10.26</c:v>
                </c:pt>
                <c:pt idx="27">
                  <c:v>10.28</c:v>
                </c:pt>
                <c:pt idx="28">
                  <c:v>10.31</c:v>
                </c:pt>
                <c:pt idx="29">
                  <c:v>10.350000000000026</c:v>
                </c:pt>
                <c:pt idx="30">
                  <c:v>10.370000000000006</c:v>
                </c:pt>
                <c:pt idx="31">
                  <c:v>10.41</c:v>
                </c:pt>
                <c:pt idx="32">
                  <c:v>10.43</c:v>
                </c:pt>
                <c:pt idx="33">
                  <c:v>10.450000000000006</c:v>
                </c:pt>
              </c:numCache>
            </c:numRef>
          </c:yVal>
          <c:smooth val="1"/>
        </c:ser>
        <c:axId val="94551040"/>
        <c:axId val="94587520"/>
      </c:scatterChart>
      <c:valAx>
        <c:axId val="94551040"/>
        <c:scaling>
          <c:orientation val="minMax"/>
          <c:max val="21"/>
          <c:min val="0"/>
        </c:scaling>
        <c:axPos val="b"/>
        <c:title>
          <c:tx>
            <c:rich>
              <a:bodyPr/>
              <a:lstStyle/>
              <a:p>
                <a:pPr>
                  <a:defRPr/>
                </a:pPr>
                <a:r>
                  <a:rPr lang="en-US"/>
                  <a:t>V(NaOH)[ml]</a:t>
                </a:r>
              </a:p>
            </c:rich>
          </c:tx>
        </c:title>
        <c:numFmt formatCode="General" sourceLinked="1"/>
        <c:tickLblPos val="nextTo"/>
        <c:crossAx val="94587520"/>
        <c:crosses val="autoZero"/>
        <c:crossBetween val="midCat"/>
      </c:valAx>
      <c:valAx>
        <c:axId val="94587520"/>
        <c:scaling>
          <c:orientation val="minMax"/>
          <c:min val="2.2999999999999998"/>
        </c:scaling>
        <c:axPos val="l"/>
        <c:majorGridlines/>
        <c:title>
          <c:tx>
            <c:rich>
              <a:bodyPr rot="-5400000" vert="horz"/>
              <a:lstStyle/>
              <a:p>
                <a:pPr>
                  <a:defRPr/>
                </a:pPr>
                <a:r>
                  <a:rPr lang="en-US"/>
                  <a:t>pH-Wert</a:t>
                </a:r>
              </a:p>
            </c:rich>
          </c:tx>
        </c:title>
        <c:numFmt formatCode="General" sourceLinked="1"/>
        <c:tickLblPos val="nextTo"/>
        <c:crossAx val="94551040"/>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a:pPr>
            <a:r>
              <a:rPr lang="de-DE"/>
              <a:t>Titrationskurve</a:t>
            </a:r>
            <a:r>
              <a:rPr lang="de-DE" baseline="0"/>
              <a:t> von Cola</a:t>
            </a:r>
            <a:endParaRPr lang="de-DE"/>
          </a:p>
        </c:rich>
      </c:tx>
    </c:title>
    <c:plotArea>
      <c:layout/>
      <c:scatterChart>
        <c:scatterStyle val="smoothMarker"/>
        <c:ser>
          <c:idx val="0"/>
          <c:order val="0"/>
          <c:marker>
            <c:symbol val="none"/>
          </c:marker>
          <c:xVal>
            <c:numRef>
              <c:f>Tabelle1!$A$1:$A$34</c:f>
              <c:numCache>
                <c:formatCode>General</c:formatCode>
                <c:ptCount val="34"/>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9</c:v>
                </c:pt>
                <c:pt idx="18">
                  <c:v>10</c:v>
                </c:pt>
                <c:pt idx="19">
                  <c:v>11</c:v>
                </c:pt>
                <c:pt idx="20">
                  <c:v>12</c:v>
                </c:pt>
                <c:pt idx="21">
                  <c:v>13</c:v>
                </c:pt>
                <c:pt idx="22">
                  <c:v>14</c:v>
                </c:pt>
                <c:pt idx="23">
                  <c:v>15</c:v>
                </c:pt>
                <c:pt idx="24">
                  <c:v>16</c:v>
                </c:pt>
                <c:pt idx="25">
                  <c:v>17</c:v>
                </c:pt>
                <c:pt idx="26">
                  <c:v>17.5</c:v>
                </c:pt>
                <c:pt idx="27">
                  <c:v>18</c:v>
                </c:pt>
                <c:pt idx="28">
                  <c:v>18.5</c:v>
                </c:pt>
                <c:pt idx="29">
                  <c:v>19</c:v>
                </c:pt>
                <c:pt idx="30">
                  <c:v>19.5</c:v>
                </c:pt>
                <c:pt idx="31">
                  <c:v>20</c:v>
                </c:pt>
                <c:pt idx="32">
                  <c:v>20.5</c:v>
                </c:pt>
                <c:pt idx="33">
                  <c:v>21</c:v>
                </c:pt>
              </c:numCache>
            </c:numRef>
          </c:xVal>
          <c:yVal>
            <c:numRef>
              <c:f>Tabelle1!$B$1:$B$34</c:f>
              <c:numCache>
                <c:formatCode>General</c:formatCode>
                <c:ptCount val="34"/>
                <c:pt idx="0">
                  <c:v>2.36</c:v>
                </c:pt>
                <c:pt idx="1">
                  <c:v>2.3699999999999997</c:v>
                </c:pt>
                <c:pt idx="2">
                  <c:v>2.3699999999999997</c:v>
                </c:pt>
                <c:pt idx="3">
                  <c:v>2.38</c:v>
                </c:pt>
                <c:pt idx="4">
                  <c:v>2.3899999999999997</c:v>
                </c:pt>
                <c:pt idx="5">
                  <c:v>2.52</c:v>
                </c:pt>
                <c:pt idx="6">
                  <c:v>2.61</c:v>
                </c:pt>
                <c:pt idx="7">
                  <c:v>2.8099999999999987</c:v>
                </c:pt>
                <c:pt idx="8">
                  <c:v>3.09</c:v>
                </c:pt>
                <c:pt idx="9">
                  <c:v>4.09</c:v>
                </c:pt>
                <c:pt idx="10">
                  <c:v>5.49</c:v>
                </c:pt>
                <c:pt idx="11">
                  <c:v>6.06</c:v>
                </c:pt>
                <c:pt idx="12">
                  <c:v>6.33</c:v>
                </c:pt>
                <c:pt idx="13">
                  <c:v>6.6199999999999966</c:v>
                </c:pt>
                <c:pt idx="14">
                  <c:v>6.8</c:v>
                </c:pt>
                <c:pt idx="15">
                  <c:v>7.01</c:v>
                </c:pt>
                <c:pt idx="16">
                  <c:v>7.21</c:v>
                </c:pt>
                <c:pt idx="17">
                  <c:v>7.72</c:v>
                </c:pt>
                <c:pt idx="18">
                  <c:v>8.52</c:v>
                </c:pt>
                <c:pt idx="19">
                  <c:v>9.18</c:v>
                </c:pt>
                <c:pt idx="20">
                  <c:v>9.5300000000000011</c:v>
                </c:pt>
                <c:pt idx="21">
                  <c:v>9.75</c:v>
                </c:pt>
                <c:pt idx="22">
                  <c:v>9.9</c:v>
                </c:pt>
                <c:pt idx="23">
                  <c:v>10.040000000000001</c:v>
                </c:pt>
                <c:pt idx="24">
                  <c:v>10.120000000000001</c:v>
                </c:pt>
                <c:pt idx="25">
                  <c:v>10.220000000000001</c:v>
                </c:pt>
                <c:pt idx="26">
                  <c:v>10.26</c:v>
                </c:pt>
                <c:pt idx="27">
                  <c:v>10.28</c:v>
                </c:pt>
                <c:pt idx="28">
                  <c:v>10.31</c:v>
                </c:pt>
                <c:pt idx="29">
                  <c:v>10.350000000000026</c:v>
                </c:pt>
                <c:pt idx="30">
                  <c:v>10.370000000000006</c:v>
                </c:pt>
                <c:pt idx="31">
                  <c:v>10.41</c:v>
                </c:pt>
                <c:pt idx="32">
                  <c:v>10.43</c:v>
                </c:pt>
                <c:pt idx="33">
                  <c:v>10.450000000000006</c:v>
                </c:pt>
              </c:numCache>
            </c:numRef>
          </c:yVal>
          <c:smooth val="1"/>
        </c:ser>
        <c:axId val="118028544"/>
        <c:axId val="96268672"/>
      </c:scatterChart>
      <c:valAx>
        <c:axId val="118028544"/>
        <c:scaling>
          <c:orientation val="minMax"/>
          <c:max val="21"/>
          <c:min val="0"/>
        </c:scaling>
        <c:axPos val="b"/>
        <c:title>
          <c:tx>
            <c:rich>
              <a:bodyPr/>
              <a:lstStyle/>
              <a:p>
                <a:pPr>
                  <a:defRPr/>
                </a:pPr>
                <a:r>
                  <a:rPr lang="en-US"/>
                  <a:t>V(NaOH)[ml]</a:t>
                </a:r>
              </a:p>
            </c:rich>
          </c:tx>
        </c:title>
        <c:numFmt formatCode="General" sourceLinked="1"/>
        <c:tickLblPos val="nextTo"/>
        <c:crossAx val="96268672"/>
        <c:crosses val="autoZero"/>
        <c:crossBetween val="midCat"/>
      </c:valAx>
      <c:valAx>
        <c:axId val="96268672"/>
        <c:scaling>
          <c:orientation val="minMax"/>
          <c:min val="2.2999999999999998"/>
        </c:scaling>
        <c:axPos val="l"/>
        <c:majorGridlines/>
        <c:title>
          <c:tx>
            <c:rich>
              <a:bodyPr rot="-5400000" vert="horz"/>
              <a:lstStyle/>
              <a:p>
                <a:pPr>
                  <a:defRPr/>
                </a:pPr>
                <a:r>
                  <a:rPr lang="en-US"/>
                  <a:t>pH-Wert</a:t>
                </a:r>
              </a:p>
            </c:rich>
          </c:tx>
        </c:title>
        <c:numFmt formatCode="General" sourceLinked="1"/>
        <c:tickLblPos val="nextTo"/>
        <c:crossAx val="118028544"/>
        <c:crosses val="autoZero"/>
        <c:crossBetween val="midCat"/>
      </c:valAx>
    </c:plotArea>
    <c:plotVisOnly val="1"/>
    <c:dispBlanksAs val="gap"/>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E4AFAA3-5504-4849-A77C-F9E67DF5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4288</Words>
  <Characters>27017</Characters>
  <Application>Microsoft Office Word</Application>
  <DocSecurity>0</DocSecurity>
  <Lines>225</Lines>
  <Paragraphs>62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2</cp:revision>
  <cp:lastPrinted>2016-08-07T18:45:00Z</cp:lastPrinted>
  <dcterms:created xsi:type="dcterms:W3CDTF">2016-08-10T10:56:00Z</dcterms:created>
  <dcterms:modified xsi:type="dcterms:W3CDTF">2016-08-10T10:56:00Z</dcterms:modified>
</cp:coreProperties>
</file>