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759" w:rsidRPr="00415759" w:rsidRDefault="00415759" w:rsidP="00415759">
      <w:pPr>
        <w:widowControl w:val="0"/>
        <w:numPr>
          <w:ilvl w:val="1"/>
          <w:numId w:val="0"/>
        </w:numPr>
        <w:spacing w:before="200" w:after="200" w:line="360" w:lineRule="auto"/>
        <w:ind w:left="576" w:hanging="576"/>
        <w:contextualSpacing/>
        <w:jc w:val="both"/>
        <w:outlineLvl w:val="1"/>
        <w:rPr>
          <w:rFonts w:ascii="Cambria" w:eastAsia="MS Gothic" w:hAnsi="Cambria" w:cs="Times New Roman"/>
          <w:b/>
          <w:bCs/>
          <w:color w:val="1D1B11"/>
          <w:szCs w:val="26"/>
        </w:rPr>
      </w:pPr>
      <w:bookmarkStart w:id="0" w:name="_Toc489377752"/>
      <w:bookmarkStart w:id="1" w:name="_GoBack"/>
      <w:bookmarkEnd w:id="1"/>
      <w:r w:rsidRPr="00415759">
        <w:rPr>
          <w:rFonts w:ascii="Cambria" w:eastAsia="MS Gothic" w:hAnsi="Cambria" w:cs="Times New Roman"/>
          <w:b/>
          <w:bCs/>
          <w:color w:val="1D1B11"/>
          <w:szCs w:val="26"/>
        </w:rPr>
        <w:t>V</w:t>
      </w:r>
      <w:r>
        <w:rPr>
          <w:rFonts w:ascii="Cambria" w:eastAsia="MS Gothic" w:hAnsi="Cambria" w:cs="Times New Roman"/>
          <w:b/>
          <w:bCs/>
          <w:color w:val="1D1B11"/>
          <w:szCs w:val="26"/>
        </w:rPr>
        <w:t>5</w:t>
      </w:r>
      <w:r w:rsidRPr="00415759">
        <w:rPr>
          <w:rFonts w:ascii="Cambria" w:eastAsia="MS Gothic" w:hAnsi="Cambria" w:cs="Times New Roman"/>
          <w:b/>
          <w:bCs/>
          <w:color w:val="1D1B11"/>
          <w:szCs w:val="26"/>
        </w:rPr>
        <w:t xml:space="preserve"> – Abhängigkeit der Leifähigkeit von den Ionen</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15759" w:rsidRPr="00415759" w:rsidTr="00505EAD">
        <w:tc>
          <w:tcPr>
            <w:tcW w:w="9322" w:type="dxa"/>
            <w:gridSpan w:val="9"/>
            <w:shd w:val="clear" w:color="auto" w:fill="4F81BD"/>
            <w:vAlign w:val="center"/>
          </w:tcPr>
          <w:p w:rsidR="00415759" w:rsidRPr="00415759" w:rsidRDefault="00415759" w:rsidP="00415759">
            <w:pPr>
              <w:widowControl w:val="0"/>
              <w:spacing w:after="0" w:line="360" w:lineRule="auto"/>
              <w:contextualSpacing/>
              <w:jc w:val="both"/>
              <w:rPr>
                <w:rFonts w:ascii="Cambria" w:eastAsia="Calibri" w:hAnsi="Cambria" w:cs="Times New Roman"/>
                <w:b/>
                <w:bCs/>
                <w:color w:val="FFFFFF"/>
              </w:rPr>
            </w:pPr>
            <w:r w:rsidRPr="00415759">
              <w:rPr>
                <w:rFonts w:ascii="Cambria" w:eastAsia="Calibri" w:hAnsi="Cambria" w:cs="Times New Roman"/>
                <w:b/>
                <w:bCs/>
                <w:color w:val="FFFFFF"/>
              </w:rPr>
              <w:t>Gefahrenstoffe</w:t>
            </w:r>
          </w:p>
        </w:tc>
      </w:tr>
      <w:tr w:rsidR="00415759" w:rsidRPr="00415759"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b/>
                <w:bCs/>
                <w:color w:val="1D1B11"/>
              </w:rPr>
            </w:pPr>
            <w:r w:rsidRPr="00415759">
              <w:rPr>
                <w:rFonts w:ascii="Cambria" w:eastAsia="Calibri" w:hAnsi="Cambria" w:cs="Times New Roman"/>
                <w:color w:val="1D1B11"/>
                <w:sz w:val="20"/>
              </w:rPr>
              <w:t>Natriumchlorid</w:t>
            </w:r>
          </w:p>
        </w:tc>
        <w:tc>
          <w:tcPr>
            <w:tcW w:w="3177" w:type="dxa"/>
            <w:gridSpan w:val="3"/>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center"/>
              <w:rPr>
                <w:rFonts w:ascii="Cambria" w:eastAsia="Calibri" w:hAnsi="Cambria" w:cs="Times New Roman"/>
                <w:color w:val="1D1B11"/>
              </w:rPr>
            </w:pPr>
            <w:r w:rsidRPr="00415759">
              <w:rPr>
                <w:rFonts w:ascii="Cambria" w:eastAsia="Calibri" w:hAnsi="Cambria" w:cs="Times New Roman"/>
                <w:color w:val="1D1B11"/>
                <w:sz w:val="20"/>
              </w:rPr>
              <w:t xml:space="preserve">H: </w:t>
            </w:r>
            <w:r w:rsidRPr="00415759">
              <w:rPr>
                <w:rFonts w:ascii="Cambria" w:eastAsia="Calibri" w:hAnsi="Cambria" w:cs="Times New Roman"/>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15759" w:rsidRPr="00415759" w:rsidRDefault="00415759" w:rsidP="00415759">
            <w:pPr>
              <w:widowControl w:val="0"/>
              <w:spacing w:after="0" w:line="360" w:lineRule="auto"/>
              <w:contextualSpacing/>
              <w:jc w:val="center"/>
              <w:rPr>
                <w:rFonts w:ascii="Cambria" w:eastAsia="Calibri" w:hAnsi="Cambria" w:cs="Times New Roman"/>
                <w:color w:val="1D1B11"/>
              </w:rPr>
            </w:pPr>
            <w:r w:rsidRPr="00415759">
              <w:rPr>
                <w:rFonts w:ascii="Cambria" w:eastAsia="Calibri" w:hAnsi="Cambria" w:cs="Times New Roman"/>
                <w:color w:val="1D1B11"/>
                <w:sz w:val="20"/>
              </w:rPr>
              <w:t xml:space="preserve">P: </w:t>
            </w:r>
            <w:r w:rsidRPr="00415759">
              <w:rPr>
                <w:rFonts w:ascii="Cambria" w:eastAsia="Calibri" w:hAnsi="Cambria" w:cs="Times New Roman"/>
                <w:color w:val="1D1B11"/>
              </w:rPr>
              <w:t>-</w:t>
            </w:r>
          </w:p>
        </w:tc>
      </w:tr>
      <w:tr w:rsidR="00415759" w:rsidRPr="00415759"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sz w:val="20"/>
              </w:rPr>
            </w:pPr>
            <w:r w:rsidRPr="00415759">
              <w:rPr>
                <w:rFonts w:ascii="Cambria" w:eastAsia="Calibri" w:hAnsi="Cambria" w:cs="Times New Roman"/>
                <w:color w:val="1D1B11"/>
                <w:sz w:val="20"/>
              </w:rPr>
              <w:t>Kaliumchlorid</w:t>
            </w:r>
          </w:p>
        </w:tc>
        <w:tc>
          <w:tcPr>
            <w:tcW w:w="3177" w:type="dxa"/>
            <w:gridSpan w:val="3"/>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center"/>
              <w:rPr>
                <w:rFonts w:ascii="Cambria" w:eastAsia="Calibri" w:hAnsi="Cambria" w:cs="Times New Roman"/>
                <w:color w:val="1D1B11"/>
                <w:sz w:val="20"/>
              </w:rPr>
            </w:pPr>
            <w:r w:rsidRPr="00415759">
              <w:rPr>
                <w:rFonts w:ascii="Cambria" w:eastAsia="Calibri" w:hAnsi="Cambria" w:cs="Times New Roman"/>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15759" w:rsidRPr="00415759" w:rsidRDefault="00415759" w:rsidP="00415759">
            <w:pPr>
              <w:widowControl w:val="0"/>
              <w:spacing w:after="0" w:line="360" w:lineRule="auto"/>
              <w:contextualSpacing/>
              <w:jc w:val="center"/>
              <w:rPr>
                <w:rFonts w:ascii="Cambria" w:eastAsia="Calibri" w:hAnsi="Cambria" w:cs="Times New Roman"/>
                <w:color w:val="1D1B11"/>
                <w:sz w:val="20"/>
              </w:rPr>
            </w:pPr>
            <w:r w:rsidRPr="00415759">
              <w:rPr>
                <w:rFonts w:ascii="Cambria" w:eastAsia="Calibri" w:hAnsi="Cambria" w:cs="Times New Roman"/>
                <w:color w:val="1D1B11"/>
                <w:sz w:val="20"/>
              </w:rPr>
              <w:t>P: -</w:t>
            </w:r>
          </w:p>
        </w:tc>
      </w:tr>
      <w:tr w:rsidR="00415759" w:rsidRPr="00415759"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sz w:val="20"/>
              </w:rPr>
            </w:pPr>
            <w:r w:rsidRPr="00415759">
              <w:rPr>
                <w:rFonts w:ascii="Cambria" w:eastAsia="Calibri" w:hAnsi="Cambria" w:cs="Times New Roman"/>
                <w:color w:val="1D1B11"/>
                <w:sz w:val="20"/>
              </w:rPr>
              <w:t>Calciumchlorid</w:t>
            </w:r>
          </w:p>
        </w:tc>
        <w:tc>
          <w:tcPr>
            <w:tcW w:w="3177" w:type="dxa"/>
            <w:gridSpan w:val="3"/>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center"/>
              <w:rPr>
                <w:rFonts w:ascii="Cambria" w:eastAsia="Calibri" w:hAnsi="Cambria" w:cs="Times New Roman"/>
                <w:color w:val="1D1B11"/>
                <w:sz w:val="20"/>
              </w:rPr>
            </w:pPr>
            <w:r w:rsidRPr="00415759">
              <w:rPr>
                <w:rFonts w:ascii="Cambria" w:eastAsia="Calibri" w:hAnsi="Cambria" w:cs="Times New Roman"/>
                <w:color w:val="1D1B11"/>
                <w:sz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15759" w:rsidRPr="00415759" w:rsidRDefault="00415759" w:rsidP="00415759">
            <w:pPr>
              <w:widowControl w:val="0"/>
              <w:spacing w:after="0" w:line="360" w:lineRule="auto"/>
              <w:contextualSpacing/>
              <w:jc w:val="center"/>
              <w:rPr>
                <w:rFonts w:ascii="Cambria" w:eastAsia="Calibri" w:hAnsi="Cambria" w:cs="Times New Roman"/>
                <w:color w:val="1D1B11"/>
                <w:sz w:val="20"/>
              </w:rPr>
            </w:pPr>
            <w:r w:rsidRPr="00415759">
              <w:rPr>
                <w:rFonts w:ascii="Cambria" w:eastAsia="Calibri" w:hAnsi="Cambria" w:cs="Times New Roman"/>
                <w:color w:val="1D1B11"/>
                <w:sz w:val="20"/>
              </w:rPr>
              <w:t>P: 205+351+338</w:t>
            </w:r>
          </w:p>
        </w:tc>
      </w:tr>
      <w:tr w:rsidR="00415759" w:rsidRPr="00415759"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sz w:val="20"/>
              </w:rPr>
            </w:pPr>
            <w:r w:rsidRPr="00415759">
              <w:rPr>
                <w:rFonts w:ascii="Cambria" w:eastAsia="Calibri" w:hAnsi="Cambria" w:cs="Times New Roman"/>
                <w:color w:val="1D1B11"/>
                <w:sz w:val="20"/>
              </w:rPr>
              <w:t>Wasser</w:t>
            </w:r>
          </w:p>
        </w:tc>
        <w:tc>
          <w:tcPr>
            <w:tcW w:w="3177" w:type="dxa"/>
            <w:gridSpan w:val="3"/>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center"/>
              <w:rPr>
                <w:rFonts w:ascii="Cambria" w:eastAsia="Calibri" w:hAnsi="Cambria" w:cs="Times New Roman"/>
                <w:color w:val="1D1B11"/>
                <w:sz w:val="20"/>
              </w:rPr>
            </w:pPr>
            <w:r w:rsidRPr="00415759">
              <w:rPr>
                <w:rFonts w:ascii="Cambria" w:eastAsia="Calibri" w:hAnsi="Cambria" w:cs="Times New Roman"/>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15759" w:rsidRPr="00415759" w:rsidRDefault="00415759" w:rsidP="00415759">
            <w:pPr>
              <w:widowControl w:val="0"/>
              <w:spacing w:after="0" w:line="360" w:lineRule="auto"/>
              <w:contextualSpacing/>
              <w:jc w:val="center"/>
              <w:rPr>
                <w:rFonts w:ascii="Cambria" w:eastAsia="Calibri" w:hAnsi="Cambria" w:cs="Times New Roman"/>
                <w:color w:val="1D1B11"/>
                <w:sz w:val="20"/>
              </w:rPr>
            </w:pPr>
            <w:r w:rsidRPr="00415759">
              <w:rPr>
                <w:rFonts w:ascii="Cambria" w:eastAsia="Calibri" w:hAnsi="Cambria" w:cs="Times New Roman"/>
                <w:color w:val="1D1B11"/>
                <w:sz w:val="20"/>
              </w:rPr>
              <w:t>P: -</w:t>
            </w:r>
          </w:p>
        </w:tc>
      </w:tr>
      <w:tr w:rsidR="00415759" w:rsidRPr="00415759"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sz w:val="20"/>
              </w:rPr>
            </w:pPr>
            <w:r w:rsidRPr="00415759">
              <w:rPr>
                <w:rFonts w:ascii="Cambria" w:eastAsia="Calibri" w:hAnsi="Cambria" w:cs="Times New Roman"/>
                <w:color w:val="1D1B11"/>
                <w:sz w:val="20"/>
              </w:rPr>
              <w:t>Natriumhydroxid</w:t>
            </w:r>
          </w:p>
        </w:tc>
        <w:tc>
          <w:tcPr>
            <w:tcW w:w="3177" w:type="dxa"/>
            <w:gridSpan w:val="3"/>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center"/>
              <w:rPr>
                <w:rFonts w:ascii="Cambria" w:eastAsia="Calibri" w:hAnsi="Cambria" w:cs="Times New Roman"/>
                <w:color w:val="1D1B11"/>
                <w:sz w:val="20"/>
              </w:rPr>
            </w:pPr>
            <w:r w:rsidRPr="00415759">
              <w:rPr>
                <w:rFonts w:ascii="Cambria" w:eastAsia="Calibri" w:hAnsi="Cambria" w:cs="Times New Roman"/>
                <w:color w:val="1D1B11"/>
                <w:sz w:val="20"/>
              </w:rPr>
              <w:t>H: 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15759" w:rsidRPr="00415759" w:rsidRDefault="00415759" w:rsidP="00415759">
            <w:pPr>
              <w:widowControl w:val="0"/>
              <w:spacing w:after="0" w:line="360" w:lineRule="auto"/>
              <w:contextualSpacing/>
              <w:jc w:val="center"/>
              <w:rPr>
                <w:rFonts w:ascii="Cambria" w:eastAsia="Calibri" w:hAnsi="Cambria" w:cs="Times New Roman"/>
                <w:color w:val="1D1B11"/>
                <w:sz w:val="20"/>
              </w:rPr>
            </w:pPr>
            <w:r w:rsidRPr="00415759">
              <w:rPr>
                <w:rFonts w:ascii="Cambria" w:eastAsia="Calibri" w:hAnsi="Cambria" w:cs="Times New Roman"/>
                <w:color w:val="1D1B11"/>
                <w:sz w:val="20"/>
              </w:rPr>
              <w:t>P: 280, 301+330+331, 305+351+338, 308+310</w:t>
            </w:r>
          </w:p>
        </w:tc>
      </w:tr>
      <w:tr w:rsidR="00415759" w:rsidRPr="00415759" w:rsidTr="00505EAD">
        <w:tc>
          <w:tcPr>
            <w:tcW w:w="1009" w:type="dxa"/>
            <w:tcBorders>
              <w:top w:val="single" w:sz="8" w:space="0" w:color="4F81BD"/>
              <w:left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b/>
                <w:bCs/>
                <w:color w:val="1D1B11"/>
              </w:rPr>
            </w:pPr>
            <w:r w:rsidRPr="00415759">
              <w:rPr>
                <w:rFonts w:ascii="Cambria" w:eastAsia="Calibri" w:hAnsi="Cambria" w:cs="Times New Roman"/>
                <w:b/>
                <w:bCs/>
                <w:noProof/>
                <w:color w:val="1D1B11"/>
                <w:lang w:eastAsia="zh-TW"/>
              </w:rPr>
              <w:drawing>
                <wp:inline distT="0" distB="0" distL="0" distR="0" wp14:anchorId="4C3F9CE8" wp14:editId="3F734387">
                  <wp:extent cx="540000" cy="540000"/>
                  <wp:effectExtent l="0" t="0" r="0" b="0"/>
                  <wp:docPr id="24" name="Grafik 2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rPr>
            </w:pPr>
            <w:r w:rsidRPr="00415759">
              <w:rPr>
                <w:rFonts w:ascii="Cambria" w:eastAsia="Calibri" w:hAnsi="Cambria" w:cs="Times New Roman"/>
                <w:noProof/>
                <w:color w:val="1D1B11"/>
                <w:lang w:eastAsia="zh-TW"/>
              </w:rPr>
              <w:drawing>
                <wp:inline distT="0" distB="0" distL="0" distR="0" wp14:anchorId="43F26450" wp14:editId="44FF3BD6">
                  <wp:extent cx="540000" cy="540000"/>
                  <wp:effectExtent l="0" t="0" r="0" b="0"/>
                  <wp:docPr id="25" name="Grafik 2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rPr>
            </w:pPr>
            <w:r w:rsidRPr="00415759">
              <w:rPr>
                <w:rFonts w:ascii="Cambria" w:eastAsia="Calibri" w:hAnsi="Cambria" w:cs="Times New Roman"/>
                <w:noProof/>
                <w:color w:val="1D1B11"/>
                <w:lang w:eastAsia="zh-TW"/>
              </w:rPr>
              <w:drawing>
                <wp:inline distT="0" distB="0" distL="0" distR="0" wp14:anchorId="0EA7545E" wp14:editId="445C4289">
                  <wp:extent cx="540000" cy="540000"/>
                  <wp:effectExtent l="0" t="0" r="0" b="0"/>
                  <wp:docPr id="26" name="Grafik 2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rPr>
            </w:pPr>
            <w:r w:rsidRPr="00415759">
              <w:rPr>
                <w:rFonts w:ascii="Cambria" w:eastAsia="Calibri" w:hAnsi="Cambria" w:cs="Times New Roman"/>
                <w:noProof/>
                <w:color w:val="1D1B11"/>
                <w:lang w:eastAsia="zh-TW"/>
              </w:rPr>
              <w:drawing>
                <wp:inline distT="0" distB="0" distL="0" distR="0" wp14:anchorId="227157F0" wp14:editId="714767AE">
                  <wp:extent cx="540000" cy="540000"/>
                  <wp:effectExtent l="0" t="0" r="0" b="0"/>
                  <wp:docPr id="27" name="Grafik 2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rPr>
            </w:pPr>
            <w:r w:rsidRPr="00415759">
              <w:rPr>
                <w:rFonts w:ascii="Cambria" w:eastAsia="Calibri" w:hAnsi="Cambria" w:cs="Times New Roman"/>
                <w:noProof/>
                <w:color w:val="1D1B11"/>
                <w:lang w:eastAsia="zh-TW"/>
              </w:rPr>
              <w:drawing>
                <wp:inline distT="0" distB="0" distL="0" distR="0" wp14:anchorId="5B6161B7" wp14:editId="41EE8BB6">
                  <wp:extent cx="540000" cy="540000"/>
                  <wp:effectExtent l="0" t="0" r="0" b="0"/>
                  <wp:docPr id="28" name="Grafik 2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rPr>
            </w:pPr>
            <w:r w:rsidRPr="00415759">
              <w:rPr>
                <w:rFonts w:ascii="Cambria" w:eastAsia="Calibri" w:hAnsi="Cambria" w:cs="Times New Roman"/>
                <w:noProof/>
                <w:color w:val="1D1B11"/>
                <w:lang w:eastAsia="zh-TW"/>
              </w:rPr>
              <w:drawing>
                <wp:inline distT="0" distB="0" distL="0" distR="0" wp14:anchorId="7772A3F9" wp14:editId="04098604">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rPr>
            </w:pPr>
            <w:r w:rsidRPr="00415759">
              <w:rPr>
                <w:rFonts w:ascii="Cambria" w:eastAsia="Calibri" w:hAnsi="Cambria" w:cs="Times New Roman"/>
                <w:noProof/>
                <w:color w:val="1D1B11"/>
                <w:lang w:eastAsia="zh-TW"/>
              </w:rPr>
              <w:drawing>
                <wp:inline distT="0" distB="0" distL="0" distR="0" wp14:anchorId="7C66F2FC" wp14:editId="14849BD8">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rPr>
            </w:pPr>
            <w:r w:rsidRPr="00415759">
              <w:rPr>
                <w:rFonts w:ascii="Cambria" w:eastAsia="Calibri" w:hAnsi="Cambria" w:cs="Times New Roman"/>
                <w:noProof/>
                <w:color w:val="1D1B11"/>
                <w:lang w:eastAsia="zh-TW"/>
              </w:rPr>
              <w:drawing>
                <wp:inline distT="0" distB="0" distL="0" distR="0" wp14:anchorId="3E5B6F55" wp14:editId="54CADCC1">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15759" w:rsidRPr="00415759" w:rsidRDefault="00415759" w:rsidP="00415759">
            <w:pPr>
              <w:widowControl w:val="0"/>
              <w:spacing w:after="0" w:line="360" w:lineRule="auto"/>
              <w:contextualSpacing/>
              <w:jc w:val="both"/>
              <w:rPr>
                <w:rFonts w:ascii="Cambria" w:eastAsia="Calibri" w:hAnsi="Cambria" w:cs="Times New Roman"/>
                <w:color w:val="1D1B11"/>
              </w:rPr>
            </w:pPr>
            <w:r w:rsidRPr="00415759">
              <w:rPr>
                <w:rFonts w:ascii="Cambria" w:eastAsia="Calibri" w:hAnsi="Cambria" w:cs="Times New Roman"/>
                <w:noProof/>
                <w:color w:val="1D1B11"/>
                <w:lang w:eastAsia="zh-TW"/>
              </w:rPr>
              <w:drawing>
                <wp:inline distT="0" distB="0" distL="0" distR="0" wp14:anchorId="0583BFE5" wp14:editId="2A655742">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415759" w:rsidRPr="00415759" w:rsidRDefault="00415759" w:rsidP="00415759">
      <w:pPr>
        <w:widowControl w:val="0"/>
        <w:tabs>
          <w:tab w:val="left" w:pos="1701"/>
          <w:tab w:val="left" w:pos="1985"/>
        </w:tabs>
        <w:spacing w:after="200" w:line="360" w:lineRule="auto"/>
        <w:ind w:left="1980" w:hanging="1980"/>
        <w:contextualSpacing/>
        <w:jc w:val="both"/>
        <w:rPr>
          <w:rFonts w:ascii="Cambria" w:eastAsia="Calibri" w:hAnsi="Cambria" w:cs="Times New Roman"/>
          <w:color w:val="1D1B11"/>
        </w:rPr>
      </w:pPr>
    </w:p>
    <w:p w:rsidR="00415759" w:rsidRPr="00415759" w:rsidRDefault="00415759" w:rsidP="00415759">
      <w:pPr>
        <w:spacing w:after="200" w:line="360" w:lineRule="auto"/>
        <w:ind w:left="1701" w:hanging="1701"/>
        <w:contextualSpacing/>
        <w:jc w:val="both"/>
        <w:rPr>
          <w:rFonts w:ascii="Cambria" w:eastAsia="Calibri" w:hAnsi="Cambria" w:cs="Times New Roman"/>
          <w:b/>
          <w:color w:val="1D1B11"/>
        </w:rPr>
      </w:pPr>
      <w:r w:rsidRPr="00415759">
        <w:rPr>
          <w:rFonts w:ascii="Cambria" w:eastAsia="Calibri" w:hAnsi="Cambria" w:cs="Times New Roman"/>
          <w:b/>
          <w:color w:val="1D1B11"/>
        </w:rPr>
        <w:t>Materialien:</w:t>
      </w:r>
    </w:p>
    <w:p w:rsidR="00415759" w:rsidRPr="00415759" w:rsidRDefault="00415759" w:rsidP="00415759">
      <w:pPr>
        <w:spacing w:after="200" w:line="360" w:lineRule="auto"/>
        <w:ind w:left="1701" w:hanging="1701"/>
        <w:contextualSpacing/>
        <w:jc w:val="both"/>
        <w:rPr>
          <w:rFonts w:ascii="Cambria" w:eastAsia="Calibri" w:hAnsi="Cambria" w:cs="Times New Roman"/>
          <w:color w:val="1D1B11"/>
        </w:rPr>
      </w:pPr>
      <w:r w:rsidRPr="00415759">
        <w:rPr>
          <w:rFonts w:ascii="Cambria" w:eastAsia="Calibri" w:hAnsi="Cambria" w:cs="Times New Roman"/>
          <w:color w:val="1D1B11"/>
        </w:rPr>
        <w:t xml:space="preserve">Spannungsquelle, Kabel, Leitfähigkeitsprüfer, 2 Multimeter. </w:t>
      </w:r>
    </w:p>
    <w:p w:rsidR="00415759" w:rsidRPr="00415759" w:rsidRDefault="00415759" w:rsidP="00415759">
      <w:pPr>
        <w:spacing w:after="200" w:line="360" w:lineRule="auto"/>
        <w:contextualSpacing/>
        <w:jc w:val="both"/>
        <w:rPr>
          <w:rFonts w:ascii="Cambria" w:eastAsia="Calibri" w:hAnsi="Cambria" w:cs="Times New Roman"/>
          <w:color w:val="1D1B11"/>
        </w:rPr>
      </w:pPr>
    </w:p>
    <w:p w:rsidR="00415759" w:rsidRPr="00415759" w:rsidRDefault="00415759" w:rsidP="00415759">
      <w:pPr>
        <w:spacing w:after="200" w:line="360" w:lineRule="auto"/>
        <w:ind w:left="1701" w:hanging="1701"/>
        <w:contextualSpacing/>
        <w:jc w:val="both"/>
        <w:rPr>
          <w:rFonts w:ascii="Cambria" w:eastAsia="Calibri" w:hAnsi="Cambria" w:cs="Times New Roman"/>
          <w:b/>
          <w:color w:val="1D1B11"/>
        </w:rPr>
      </w:pPr>
      <w:r w:rsidRPr="00415759">
        <w:rPr>
          <w:rFonts w:ascii="Cambria" w:eastAsia="Calibri" w:hAnsi="Cambria" w:cs="Times New Roman"/>
          <w:b/>
          <w:color w:val="1D1B11"/>
        </w:rPr>
        <w:t>Chemikalien:</w:t>
      </w:r>
    </w:p>
    <w:p w:rsidR="00415759" w:rsidRPr="00415759" w:rsidRDefault="00415759" w:rsidP="00415759">
      <w:pPr>
        <w:spacing w:after="200" w:line="360" w:lineRule="auto"/>
        <w:contextualSpacing/>
        <w:jc w:val="both"/>
        <w:rPr>
          <w:rFonts w:ascii="Cambria" w:eastAsia="Calibri" w:hAnsi="Cambria" w:cs="Times New Roman"/>
          <w:color w:val="1D1B11"/>
        </w:rPr>
      </w:pPr>
      <w:r w:rsidRPr="00415759">
        <w:rPr>
          <w:rFonts w:ascii="Cambria" w:eastAsia="Calibri" w:hAnsi="Cambria" w:cs="Times New Roman"/>
          <w:color w:val="1D1B11"/>
        </w:rPr>
        <w:t>Natriumchlorid, Kaliumchlorid, Calciumchlorid, Natriumhydroxid, dest. Wasser.</w:t>
      </w:r>
    </w:p>
    <w:p w:rsidR="00415759" w:rsidRPr="00415759" w:rsidRDefault="00415759" w:rsidP="00415759">
      <w:pPr>
        <w:spacing w:after="200" w:line="360" w:lineRule="auto"/>
        <w:ind w:left="1701" w:hanging="1701"/>
        <w:contextualSpacing/>
        <w:jc w:val="both"/>
        <w:rPr>
          <w:rFonts w:ascii="Cambria" w:eastAsia="Calibri" w:hAnsi="Cambria" w:cs="Times New Roman"/>
          <w:color w:val="1D1B11"/>
        </w:rPr>
      </w:pPr>
    </w:p>
    <w:p w:rsidR="00415759" w:rsidRPr="00415759" w:rsidRDefault="00415759" w:rsidP="00415759">
      <w:pPr>
        <w:spacing w:after="200" w:line="360" w:lineRule="auto"/>
        <w:contextualSpacing/>
        <w:jc w:val="both"/>
        <w:rPr>
          <w:rFonts w:ascii="Cambria" w:eastAsia="Calibri" w:hAnsi="Cambria" w:cs="Times New Roman"/>
          <w:b/>
          <w:color w:val="1D1B11"/>
        </w:rPr>
      </w:pPr>
      <w:r w:rsidRPr="00415759">
        <w:rPr>
          <w:rFonts w:ascii="Cambria" w:eastAsia="Calibri" w:hAnsi="Cambria" w:cs="Times New Roman"/>
          <w:b/>
          <w:color w:val="1D1B11"/>
        </w:rPr>
        <w:t>Durchführung:</w:t>
      </w:r>
    </w:p>
    <w:p w:rsidR="00415759" w:rsidRPr="00415759" w:rsidRDefault="00415759" w:rsidP="00415759">
      <w:pPr>
        <w:spacing w:after="200" w:line="360" w:lineRule="auto"/>
        <w:contextualSpacing/>
        <w:jc w:val="both"/>
        <w:rPr>
          <w:rFonts w:ascii="Cambria" w:eastAsia="Calibri" w:hAnsi="Cambria" w:cs="Times New Roman"/>
          <w:color w:val="1D1B11"/>
        </w:rPr>
      </w:pPr>
      <w:r w:rsidRPr="00415759">
        <w:rPr>
          <w:rFonts w:ascii="Cambria" w:eastAsia="Calibri" w:hAnsi="Cambria" w:cs="Times New Roman"/>
          <w:color w:val="1D1B11"/>
        </w:rPr>
        <w:t>Zunächst werden je 30 mL einer Natriumchlorid-, Kaliumchlorid-, Calciumchlorid- und Natriumhydroxidlösung (c = 0,1 mol/L) angesetzt.</w:t>
      </w:r>
    </w:p>
    <w:p w:rsidR="00415759" w:rsidRPr="00415759" w:rsidRDefault="00415759" w:rsidP="00415759">
      <w:pPr>
        <w:spacing w:after="200" w:line="360" w:lineRule="auto"/>
        <w:contextualSpacing/>
        <w:jc w:val="both"/>
        <w:rPr>
          <w:rFonts w:ascii="Cambria" w:eastAsia="Calibri" w:hAnsi="Cambria" w:cs="Times New Roman"/>
          <w:color w:val="1D1B11"/>
        </w:rPr>
      </w:pPr>
      <w:r w:rsidRPr="00415759">
        <w:rPr>
          <w:rFonts w:ascii="Cambria" w:eastAsia="Calibri" w:hAnsi="Cambria" w:cs="Times New Roman"/>
          <w:color w:val="1D1B11"/>
        </w:rPr>
        <w:t xml:space="preserve">Parallel zu der Spannungsquelle wird ein Multimeter als Voltmeter geschaltet. Der Leitfähigkeitsprüfer sowie wie ein weiteres Multimeter werden in Reihe geschaltet. Das Multimeter dient hierbei als Amperemeter. An der Spannungsquelle wird nun eine Spannung von 5 V angelegt. Nun können die Leitfähigkeiten gemessen werden. Zwischen den Messungen sollte der Leitfähigkeitsprüfer mit destilliertem Wasser abgespült werden. </w:t>
      </w:r>
    </w:p>
    <w:p w:rsidR="00415759" w:rsidRPr="00415759" w:rsidRDefault="00415759" w:rsidP="00415759">
      <w:pPr>
        <w:widowControl w:val="0"/>
        <w:spacing w:after="200" w:line="360" w:lineRule="auto"/>
        <w:contextualSpacing/>
        <w:jc w:val="both"/>
        <w:rPr>
          <w:rFonts w:ascii="Cambria" w:eastAsia="Calibri" w:hAnsi="Cambria" w:cs="Times New Roman"/>
          <w:color w:val="1D1B11"/>
        </w:rPr>
      </w:pPr>
    </w:p>
    <w:p w:rsidR="00415759" w:rsidRPr="00415759" w:rsidRDefault="00415759" w:rsidP="00415759">
      <w:pPr>
        <w:widowControl w:val="0"/>
        <w:spacing w:after="200" w:line="360" w:lineRule="auto"/>
        <w:ind w:left="1701" w:hanging="1701"/>
        <w:contextualSpacing/>
        <w:jc w:val="both"/>
        <w:rPr>
          <w:rFonts w:ascii="Cambria" w:eastAsia="Calibri" w:hAnsi="Cambria" w:cs="Times New Roman"/>
          <w:b/>
          <w:color w:val="1D1B11"/>
        </w:rPr>
      </w:pPr>
      <w:r w:rsidRPr="00415759">
        <w:rPr>
          <w:rFonts w:ascii="Cambria" w:eastAsia="Calibri" w:hAnsi="Cambria" w:cs="Times New Roman"/>
          <w:b/>
          <w:color w:val="1D1B11"/>
        </w:rPr>
        <w:t>Beobachtung:</w:t>
      </w:r>
    </w:p>
    <w:p w:rsidR="00415759" w:rsidRPr="00415759" w:rsidRDefault="00415759" w:rsidP="00415759">
      <w:pPr>
        <w:keepNext/>
        <w:spacing w:after="200" w:line="240" w:lineRule="auto"/>
        <w:jc w:val="both"/>
        <w:rPr>
          <w:rFonts w:ascii="Cambria" w:eastAsia="Calibri" w:hAnsi="Cambria" w:cs="Times New Roman"/>
          <w:bCs/>
          <w:sz w:val="18"/>
          <w:szCs w:val="18"/>
        </w:rPr>
      </w:pPr>
      <w:r w:rsidRPr="00415759">
        <w:rPr>
          <w:rFonts w:ascii="Cambria" w:eastAsia="Calibri" w:hAnsi="Cambria" w:cs="Times New Roman"/>
          <w:bCs/>
          <w:sz w:val="18"/>
          <w:szCs w:val="18"/>
        </w:rPr>
        <w:t xml:space="preserve">Tabelle </w:t>
      </w:r>
      <w:r w:rsidRPr="00415759">
        <w:rPr>
          <w:rFonts w:ascii="Cambria" w:eastAsia="Calibri" w:hAnsi="Cambria" w:cs="Times New Roman"/>
          <w:bCs/>
          <w:sz w:val="18"/>
          <w:szCs w:val="18"/>
        </w:rPr>
        <w:fldChar w:fldCharType="begin"/>
      </w:r>
      <w:r w:rsidRPr="00415759">
        <w:rPr>
          <w:rFonts w:ascii="Cambria" w:eastAsia="Calibri" w:hAnsi="Cambria" w:cs="Times New Roman"/>
          <w:bCs/>
          <w:sz w:val="18"/>
          <w:szCs w:val="18"/>
        </w:rPr>
        <w:instrText xml:space="preserve"> SEQ Tabelle \* ARABIC </w:instrText>
      </w:r>
      <w:r w:rsidRPr="00415759">
        <w:rPr>
          <w:rFonts w:ascii="Cambria" w:eastAsia="Calibri" w:hAnsi="Cambria" w:cs="Times New Roman"/>
          <w:bCs/>
          <w:sz w:val="18"/>
          <w:szCs w:val="18"/>
        </w:rPr>
        <w:fldChar w:fldCharType="separate"/>
      </w:r>
      <w:r w:rsidR="00EB6453">
        <w:rPr>
          <w:rFonts w:ascii="Cambria" w:eastAsia="Calibri" w:hAnsi="Cambria" w:cs="Times New Roman"/>
          <w:bCs/>
          <w:noProof/>
          <w:sz w:val="18"/>
          <w:szCs w:val="18"/>
        </w:rPr>
        <w:t>1</w:t>
      </w:r>
      <w:r w:rsidRPr="00415759">
        <w:rPr>
          <w:rFonts w:ascii="Cambria" w:eastAsia="Calibri" w:hAnsi="Cambria" w:cs="Times New Roman"/>
          <w:bCs/>
          <w:noProof/>
          <w:sz w:val="18"/>
          <w:szCs w:val="18"/>
        </w:rPr>
        <w:fldChar w:fldCharType="end"/>
      </w:r>
      <w:r w:rsidRPr="00415759">
        <w:rPr>
          <w:rFonts w:ascii="Cambria" w:eastAsia="Calibri" w:hAnsi="Cambria" w:cs="Times New Roman"/>
          <w:bCs/>
          <w:sz w:val="18"/>
          <w:szCs w:val="18"/>
        </w:rPr>
        <w:t>: Messwerte der Leitfähigkeit verschiedener Lösungen.</w:t>
      </w:r>
    </w:p>
    <w:tbl>
      <w:tblPr>
        <w:tblStyle w:val="Listentabelle3Akzent112"/>
        <w:tblW w:w="0" w:type="auto"/>
        <w:tblLook w:val="00A0" w:firstRow="1" w:lastRow="0" w:firstColumn="1" w:lastColumn="0" w:noHBand="0" w:noVBand="0"/>
      </w:tblPr>
      <w:tblGrid>
        <w:gridCol w:w="1839"/>
        <w:gridCol w:w="1840"/>
        <w:gridCol w:w="1841"/>
        <w:gridCol w:w="1841"/>
      </w:tblGrid>
      <w:tr w:rsidR="00415759" w:rsidRPr="00415759" w:rsidTr="004157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9"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Salz</w:t>
            </w:r>
          </w:p>
        </w:tc>
        <w:tc>
          <w:tcPr>
            <w:cnfStyle w:val="000010000000" w:firstRow="0" w:lastRow="0" w:firstColumn="0" w:lastColumn="0" w:oddVBand="1" w:evenVBand="0" w:oddHBand="0" w:evenHBand="0" w:firstRowFirstColumn="0" w:firstRowLastColumn="0" w:lastRowFirstColumn="0" w:lastRowLastColumn="0"/>
            <w:tcW w:w="1840"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Konzentration [mol/L]</w:t>
            </w:r>
          </w:p>
        </w:tc>
        <w:tc>
          <w:tcPr>
            <w:tcW w:w="1841" w:type="dxa"/>
          </w:tcPr>
          <w:p w:rsidR="00415759" w:rsidRPr="00415759" w:rsidRDefault="00415759" w:rsidP="00415759">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color w:val="1D1B11"/>
              </w:rPr>
            </w:pPr>
            <w:r w:rsidRPr="00415759">
              <w:rPr>
                <w:rFonts w:ascii="Cambria" w:eastAsia="Calibri" w:hAnsi="Cambria" w:cs="Times New Roman"/>
                <w:color w:val="1D1B11"/>
              </w:rPr>
              <w:t>U [V]</w:t>
            </w:r>
          </w:p>
        </w:tc>
        <w:tc>
          <w:tcPr>
            <w:cnfStyle w:val="000010000000" w:firstRow="0" w:lastRow="0" w:firstColumn="0" w:lastColumn="0" w:oddVBand="1" w:evenVBand="0" w:oddHBand="0" w:evenHBand="0" w:firstRowFirstColumn="0" w:firstRowLastColumn="0" w:lastRowFirstColumn="0" w:lastRowLastColumn="0"/>
            <w:tcW w:w="1841"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I [mA]</w:t>
            </w:r>
          </w:p>
        </w:tc>
      </w:tr>
      <w:tr w:rsidR="00415759" w:rsidRPr="00415759" w:rsidTr="004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NaCl</w:t>
            </w:r>
          </w:p>
        </w:tc>
        <w:tc>
          <w:tcPr>
            <w:cnfStyle w:val="000010000000" w:firstRow="0" w:lastRow="0" w:firstColumn="0" w:lastColumn="0" w:oddVBand="1" w:evenVBand="0" w:oddHBand="0" w:evenHBand="0" w:firstRowFirstColumn="0" w:firstRowLastColumn="0" w:lastRowFirstColumn="0" w:lastRowLastColumn="0"/>
            <w:tcW w:w="1840"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0,1</w:t>
            </w:r>
          </w:p>
        </w:tc>
        <w:tc>
          <w:tcPr>
            <w:tcW w:w="1841" w:type="dxa"/>
          </w:tcPr>
          <w:p w:rsidR="00415759" w:rsidRPr="00415759" w:rsidRDefault="00415759" w:rsidP="00415759">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1D1B11"/>
              </w:rPr>
            </w:pPr>
            <w:r w:rsidRPr="00415759">
              <w:rPr>
                <w:rFonts w:ascii="Cambria" w:eastAsia="Calibri" w:hAnsi="Cambria" w:cs="Times New Roman"/>
                <w:color w:val="1D1B11"/>
              </w:rPr>
              <w:t>4,8</w:t>
            </w:r>
          </w:p>
        </w:tc>
        <w:tc>
          <w:tcPr>
            <w:cnfStyle w:val="000010000000" w:firstRow="0" w:lastRow="0" w:firstColumn="0" w:lastColumn="0" w:oddVBand="1" w:evenVBand="0" w:oddHBand="0" w:evenHBand="0" w:firstRowFirstColumn="0" w:firstRowLastColumn="0" w:lastRowFirstColumn="0" w:lastRowLastColumn="0"/>
            <w:tcW w:w="1841"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0,27</w:t>
            </w:r>
          </w:p>
        </w:tc>
      </w:tr>
      <w:tr w:rsidR="00415759" w:rsidRPr="00415759" w:rsidTr="00415759">
        <w:tc>
          <w:tcPr>
            <w:cnfStyle w:val="001000000000" w:firstRow="0" w:lastRow="0" w:firstColumn="1" w:lastColumn="0" w:oddVBand="0" w:evenVBand="0" w:oddHBand="0" w:evenHBand="0" w:firstRowFirstColumn="0" w:firstRowLastColumn="0" w:lastRowFirstColumn="0" w:lastRowLastColumn="0"/>
            <w:tcW w:w="1839"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KCl</w:t>
            </w:r>
          </w:p>
        </w:tc>
        <w:tc>
          <w:tcPr>
            <w:cnfStyle w:val="000010000000" w:firstRow="0" w:lastRow="0" w:firstColumn="0" w:lastColumn="0" w:oddVBand="1" w:evenVBand="0" w:oddHBand="0" w:evenHBand="0" w:firstRowFirstColumn="0" w:firstRowLastColumn="0" w:lastRowFirstColumn="0" w:lastRowLastColumn="0"/>
            <w:tcW w:w="1840"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0,1</w:t>
            </w:r>
          </w:p>
        </w:tc>
        <w:tc>
          <w:tcPr>
            <w:tcW w:w="1841" w:type="dxa"/>
          </w:tcPr>
          <w:p w:rsidR="00415759" w:rsidRPr="00415759" w:rsidRDefault="00415759" w:rsidP="00415759">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1D1B11"/>
              </w:rPr>
            </w:pPr>
            <w:r w:rsidRPr="00415759">
              <w:rPr>
                <w:rFonts w:ascii="Cambria" w:eastAsia="Calibri" w:hAnsi="Cambria" w:cs="Times New Roman"/>
                <w:color w:val="1D1B11"/>
              </w:rPr>
              <w:t>5,1</w:t>
            </w:r>
          </w:p>
        </w:tc>
        <w:tc>
          <w:tcPr>
            <w:cnfStyle w:val="000010000000" w:firstRow="0" w:lastRow="0" w:firstColumn="0" w:lastColumn="0" w:oddVBand="1" w:evenVBand="0" w:oddHBand="0" w:evenHBand="0" w:firstRowFirstColumn="0" w:firstRowLastColumn="0" w:lastRowFirstColumn="0" w:lastRowLastColumn="0"/>
            <w:tcW w:w="1841"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0,31</w:t>
            </w:r>
          </w:p>
        </w:tc>
      </w:tr>
      <w:tr w:rsidR="00415759" w:rsidRPr="00415759" w:rsidTr="00415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9" w:type="dxa"/>
          </w:tcPr>
          <w:p w:rsidR="00415759" w:rsidRPr="00415759" w:rsidRDefault="00415759" w:rsidP="00415759">
            <w:pPr>
              <w:contextualSpacing/>
              <w:rPr>
                <w:rFonts w:ascii="Cambria" w:eastAsia="Calibri" w:hAnsi="Cambria" w:cs="Times New Roman"/>
                <w:color w:val="1D1B11"/>
                <w:vertAlign w:val="subscript"/>
              </w:rPr>
            </w:pPr>
            <w:r w:rsidRPr="00415759">
              <w:rPr>
                <w:rFonts w:ascii="Cambria" w:eastAsia="Calibri" w:hAnsi="Cambria" w:cs="Times New Roman"/>
                <w:color w:val="1D1B11"/>
              </w:rPr>
              <w:t>CaCl</w:t>
            </w:r>
            <w:r w:rsidRPr="00415759">
              <w:rPr>
                <w:rFonts w:ascii="Cambria" w:eastAsia="Calibri" w:hAnsi="Cambria" w:cs="Times New Roman"/>
                <w:color w:val="1D1B11"/>
                <w:vertAlign w:val="subscript"/>
              </w:rPr>
              <w:t>2</w:t>
            </w:r>
          </w:p>
        </w:tc>
        <w:tc>
          <w:tcPr>
            <w:cnfStyle w:val="000010000000" w:firstRow="0" w:lastRow="0" w:firstColumn="0" w:lastColumn="0" w:oddVBand="1" w:evenVBand="0" w:oddHBand="0" w:evenHBand="0" w:firstRowFirstColumn="0" w:firstRowLastColumn="0" w:lastRowFirstColumn="0" w:lastRowLastColumn="0"/>
            <w:tcW w:w="1840"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0,1</w:t>
            </w:r>
          </w:p>
        </w:tc>
        <w:tc>
          <w:tcPr>
            <w:tcW w:w="1841" w:type="dxa"/>
          </w:tcPr>
          <w:p w:rsidR="00415759" w:rsidRPr="00415759" w:rsidRDefault="00415759" w:rsidP="00415759">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color w:val="1D1B11"/>
              </w:rPr>
            </w:pPr>
            <w:r w:rsidRPr="00415759">
              <w:rPr>
                <w:rFonts w:ascii="Cambria" w:eastAsia="Calibri" w:hAnsi="Cambria" w:cs="Times New Roman"/>
                <w:color w:val="1D1B11"/>
              </w:rPr>
              <w:t>5,0</w:t>
            </w:r>
          </w:p>
        </w:tc>
        <w:tc>
          <w:tcPr>
            <w:cnfStyle w:val="000010000000" w:firstRow="0" w:lastRow="0" w:firstColumn="0" w:lastColumn="0" w:oddVBand="1" w:evenVBand="0" w:oddHBand="0" w:evenHBand="0" w:firstRowFirstColumn="0" w:firstRowLastColumn="0" w:lastRowFirstColumn="0" w:lastRowLastColumn="0"/>
            <w:tcW w:w="1841"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0,49</w:t>
            </w:r>
          </w:p>
        </w:tc>
      </w:tr>
      <w:tr w:rsidR="00415759" w:rsidRPr="00415759" w:rsidTr="00415759">
        <w:tc>
          <w:tcPr>
            <w:cnfStyle w:val="001000000000" w:firstRow="0" w:lastRow="0" w:firstColumn="1" w:lastColumn="0" w:oddVBand="0" w:evenVBand="0" w:oddHBand="0" w:evenHBand="0" w:firstRowFirstColumn="0" w:firstRowLastColumn="0" w:lastRowFirstColumn="0" w:lastRowLastColumn="0"/>
            <w:tcW w:w="1839"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NaOH</w:t>
            </w:r>
          </w:p>
        </w:tc>
        <w:tc>
          <w:tcPr>
            <w:cnfStyle w:val="000010000000" w:firstRow="0" w:lastRow="0" w:firstColumn="0" w:lastColumn="0" w:oddVBand="1" w:evenVBand="0" w:oddHBand="0" w:evenHBand="0" w:firstRowFirstColumn="0" w:firstRowLastColumn="0" w:lastRowFirstColumn="0" w:lastRowLastColumn="0"/>
            <w:tcW w:w="1840"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0,1</w:t>
            </w:r>
          </w:p>
        </w:tc>
        <w:tc>
          <w:tcPr>
            <w:tcW w:w="1841" w:type="dxa"/>
          </w:tcPr>
          <w:p w:rsidR="00415759" w:rsidRPr="00415759" w:rsidRDefault="00415759" w:rsidP="00415759">
            <w:pPr>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color w:val="1D1B11"/>
              </w:rPr>
            </w:pPr>
            <w:r w:rsidRPr="00415759">
              <w:rPr>
                <w:rFonts w:ascii="Cambria" w:eastAsia="Calibri" w:hAnsi="Cambria" w:cs="Times New Roman"/>
                <w:color w:val="1D1B11"/>
              </w:rPr>
              <w:t>4,8</w:t>
            </w:r>
          </w:p>
        </w:tc>
        <w:tc>
          <w:tcPr>
            <w:cnfStyle w:val="000010000000" w:firstRow="0" w:lastRow="0" w:firstColumn="0" w:lastColumn="0" w:oddVBand="1" w:evenVBand="0" w:oddHBand="0" w:evenHBand="0" w:firstRowFirstColumn="0" w:firstRowLastColumn="0" w:lastRowFirstColumn="0" w:lastRowLastColumn="0"/>
            <w:tcW w:w="1841" w:type="dxa"/>
          </w:tcPr>
          <w:p w:rsidR="00415759" w:rsidRPr="00415759" w:rsidRDefault="00415759" w:rsidP="00415759">
            <w:pPr>
              <w:contextualSpacing/>
              <w:rPr>
                <w:rFonts w:ascii="Cambria" w:eastAsia="Calibri" w:hAnsi="Cambria" w:cs="Times New Roman"/>
                <w:color w:val="1D1B11"/>
              </w:rPr>
            </w:pPr>
            <w:r w:rsidRPr="00415759">
              <w:rPr>
                <w:rFonts w:ascii="Cambria" w:eastAsia="Calibri" w:hAnsi="Cambria" w:cs="Times New Roman"/>
                <w:color w:val="1D1B11"/>
              </w:rPr>
              <w:t>0,56</w:t>
            </w:r>
          </w:p>
        </w:tc>
      </w:tr>
    </w:tbl>
    <w:p w:rsidR="00415759" w:rsidRPr="00415759" w:rsidRDefault="00415759" w:rsidP="00415759">
      <w:pPr>
        <w:widowControl w:val="0"/>
        <w:spacing w:after="200" w:line="360" w:lineRule="auto"/>
        <w:contextualSpacing/>
        <w:jc w:val="both"/>
        <w:rPr>
          <w:rFonts w:ascii="Cambria" w:eastAsia="Calibri" w:hAnsi="Cambria" w:cs="Times New Roman"/>
          <w:color w:val="1D1B11"/>
        </w:rPr>
      </w:pPr>
    </w:p>
    <w:p w:rsidR="00415759" w:rsidRPr="00415759" w:rsidRDefault="00415759" w:rsidP="00415759">
      <w:pPr>
        <w:widowControl w:val="0"/>
        <w:spacing w:after="200" w:line="360" w:lineRule="auto"/>
        <w:ind w:left="1701" w:hanging="1701"/>
        <w:contextualSpacing/>
        <w:jc w:val="both"/>
        <w:rPr>
          <w:rFonts w:ascii="Cambria" w:eastAsia="Calibri" w:hAnsi="Cambria" w:cs="Times New Roman"/>
          <w:b/>
          <w:color w:val="1D1B11"/>
        </w:rPr>
      </w:pPr>
    </w:p>
    <w:p w:rsidR="00415759" w:rsidRPr="00415759" w:rsidRDefault="00415759" w:rsidP="00415759">
      <w:pPr>
        <w:widowControl w:val="0"/>
        <w:spacing w:after="200" w:line="360" w:lineRule="auto"/>
        <w:ind w:left="1701" w:hanging="1701"/>
        <w:contextualSpacing/>
        <w:jc w:val="both"/>
        <w:rPr>
          <w:rFonts w:ascii="Cambria" w:eastAsia="Calibri" w:hAnsi="Cambria" w:cs="Times New Roman"/>
          <w:b/>
          <w:color w:val="1D1B11"/>
        </w:rPr>
      </w:pPr>
      <w:r w:rsidRPr="00415759">
        <w:rPr>
          <w:rFonts w:ascii="Cambria" w:eastAsia="Calibri" w:hAnsi="Cambria" w:cs="Times New Roman"/>
          <w:b/>
          <w:color w:val="1D1B11"/>
        </w:rPr>
        <w:lastRenderedPageBreak/>
        <w:t>Deutung:</w:t>
      </w:r>
    </w:p>
    <w:p w:rsidR="00415759" w:rsidRPr="00415759" w:rsidRDefault="00415759" w:rsidP="00415759">
      <w:pPr>
        <w:widowControl w:val="0"/>
        <w:spacing w:after="200" w:line="360" w:lineRule="auto"/>
        <w:contextualSpacing/>
        <w:jc w:val="both"/>
        <w:rPr>
          <w:rFonts w:ascii="Cambria" w:eastAsia="Calibri" w:hAnsi="Cambria" w:cs="Times New Roman"/>
          <w:color w:val="1D1B11"/>
        </w:rPr>
      </w:pPr>
      <w:r w:rsidRPr="00415759">
        <w:rPr>
          <w:rFonts w:ascii="Cambria" w:eastAsia="Calibri" w:hAnsi="Cambria" w:cs="Times New Roman"/>
          <w:color w:val="1D1B11"/>
        </w:rPr>
        <w:t>Vergleicht man die gemessene Stromstärke der Natrium-, Kalium- und Calciumkationen miteinander, lässt sich erkennen, dass Calciumchlorid die höchste Leitfähigkeit besitzt. Dies ist damit zu begründen, dass Calcium ein zweiwertiges Ion ist, hier also zwei Ladungen vorhanden sind. Kaliumchlorid weist zudem eine höhere Leitfähigkeit auf als Natriumchlorid, was mit dem Ionenradius (inkl. Hydrathülle) zu begründen ist. Durch die geringere Größe des Natriumions liegt die Ladung hier konzentrierter vor. In der Folge erfahren die Wassermoleküle eine stärkere Anziehungskraft durch das stärkere elektrische Feld des Natriumions, wodurch sich hier die größere Hydrathülle bildet. Da sich um das Kaliumion eine kleinere Hydrathülle bildet, ist das hydratisierte Kaliumion kleiner und daher beweglicher. Daher rührt auch die höhere Leitfähigkeit des Kaliumions.</w:t>
      </w:r>
    </w:p>
    <w:p w:rsidR="00415759" w:rsidRPr="00415759" w:rsidRDefault="00415759" w:rsidP="00415759">
      <w:pPr>
        <w:widowControl w:val="0"/>
        <w:spacing w:after="200" w:line="360" w:lineRule="auto"/>
        <w:contextualSpacing/>
        <w:jc w:val="both"/>
        <w:rPr>
          <w:rFonts w:ascii="Cambria" w:eastAsia="Calibri" w:hAnsi="Cambria" w:cs="Times New Roman"/>
          <w:color w:val="1D1B11"/>
        </w:rPr>
      </w:pPr>
      <w:r w:rsidRPr="00415759">
        <w:rPr>
          <w:rFonts w:ascii="Cambria" w:eastAsia="Calibri" w:hAnsi="Cambria" w:cs="Times New Roman"/>
          <w:color w:val="1D1B11"/>
        </w:rPr>
        <w:t xml:space="preserve">Vergleicht man nun noch die Leitfähigkeiten von Natriumchlorid und Natriumhydroxid fällt auf, dass das Natriumhydroxid die größere Leitfähigkeit aufweist. Dies ist mit der Besonderheit der Oxonium- und Hydroxidionen zu begründen, dass Protonen von einem Molekül auf das nächste „springen“ können. Dieses nennt man den Grotthuß-Mechanismus. Dadurch kann hier ein Ladungstransport ohne gleichzeitigen Massentransport stattfinden. </w:t>
      </w:r>
    </w:p>
    <w:p w:rsidR="00415759" w:rsidRPr="00415759" w:rsidRDefault="00415759" w:rsidP="00415759">
      <w:pPr>
        <w:widowControl w:val="0"/>
        <w:spacing w:after="200" w:line="360" w:lineRule="auto"/>
        <w:contextualSpacing/>
        <w:jc w:val="both"/>
        <w:rPr>
          <w:rFonts w:ascii="Cambria" w:eastAsia="Calibri" w:hAnsi="Cambria" w:cs="Times New Roman"/>
          <w:color w:val="1D1B11"/>
        </w:rPr>
      </w:pPr>
      <w:r w:rsidRPr="00415759">
        <w:rPr>
          <w:rFonts w:ascii="Cambria" w:eastAsia="Calibri" w:hAnsi="Cambria" w:cs="Times New Roman"/>
          <w:color w:val="1D1B11"/>
        </w:rPr>
        <w:t>Eine Deutung für die SuS könnte dann wie folgt aussehen: Da das Calciumion zwei Ladungen und somit eine mehr als das Kalium- und Natriumion hat, weist es die höchste Leitfähigkeit auf. Da die Natriumionen mit der gebildeten Hydrathülle einen größeren Radius haben als die Kaliumionen mit der Hydrathülle, sind die Kaliumionen leitfähiger. Sie können sich, aufgrund ihrer geringeren Größe schneller bewegen.</w:t>
      </w:r>
    </w:p>
    <w:p w:rsidR="00415759" w:rsidRPr="00415759" w:rsidRDefault="00415759" w:rsidP="00415759">
      <w:pPr>
        <w:widowControl w:val="0"/>
        <w:spacing w:after="200" w:line="360" w:lineRule="auto"/>
        <w:contextualSpacing/>
        <w:jc w:val="both"/>
        <w:rPr>
          <w:rFonts w:ascii="Cambria" w:eastAsia="Calibri" w:hAnsi="Cambria" w:cs="Times New Roman"/>
          <w:color w:val="1D1B11"/>
        </w:rPr>
      </w:pPr>
      <w:r w:rsidRPr="00415759">
        <w:rPr>
          <w:rFonts w:ascii="Cambria" w:eastAsia="Calibri" w:hAnsi="Cambria" w:cs="Times New Roman"/>
          <w:color w:val="1D1B11"/>
        </w:rPr>
        <w:t>Im Vergleich zu der Natriumchloridlösung zeigt die Natriumhydroxidlösung eine höhere Leitfähigkeit. Dafür sind die Hydroxidionen verantwortlich, die eine Ausnahme bilden und trotz eines großen Ionenradius eine sehr hohe Leitfähigkeit aufweisen, da die Hydroxidionen Protonen aufnehmen und wieder abgeben können, ohne dass dabei Teilchen durch die Lösung „wandern“ müssen. Somit werden hier Ladungen transportiert, ohne dass sich die Teilchen durch die Lösung bewegen müssen.</w:t>
      </w:r>
    </w:p>
    <w:p w:rsidR="00415759" w:rsidRPr="00415759" w:rsidRDefault="00415759" w:rsidP="00415759">
      <w:pPr>
        <w:widowControl w:val="0"/>
        <w:tabs>
          <w:tab w:val="left" w:pos="1701"/>
          <w:tab w:val="left" w:pos="1985"/>
        </w:tabs>
        <w:spacing w:after="200" w:line="360" w:lineRule="auto"/>
        <w:contextualSpacing/>
        <w:jc w:val="both"/>
        <w:rPr>
          <w:rFonts w:ascii="Cambria" w:eastAsia="MS Mincho" w:hAnsi="Cambria" w:cs="Times New Roman"/>
          <w:b/>
          <w:color w:val="1D1B11"/>
        </w:rPr>
      </w:pPr>
    </w:p>
    <w:p w:rsidR="00415759" w:rsidRPr="00415759" w:rsidRDefault="00415759" w:rsidP="00415759">
      <w:pPr>
        <w:widowControl w:val="0"/>
        <w:spacing w:after="200" w:line="360" w:lineRule="auto"/>
        <w:ind w:left="1701" w:hanging="1701"/>
        <w:contextualSpacing/>
        <w:jc w:val="both"/>
        <w:rPr>
          <w:rFonts w:ascii="Cambria" w:eastAsia="Calibri" w:hAnsi="Cambria" w:cs="Times New Roman"/>
          <w:b/>
          <w:color w:val="1D1B11"/>
        </w:rPr>
      </w:pPr>
      <w:r w:rsidRPr="00415759">
        <w:rPr>
          <w:rFonts w:ascii="Cambria" w:eastAsia="Calibri" w:hAnsi="Cambria" w:cs="Times New Roman"/>
          <w:b/>
          <w:color w:val="1D1B11"/>
        </w:rPr>
        <w:t>Entsorgung:</w:t>
      </w:r>
    </w:p>
    <w:p w:rsidR="00415759" w:rsidRPr="00415759" w:rsidRDefault="00415759" w:rsidP="00415759">
      <w:pPr>
        <w:widowControl w:val="0"/>
        <w:spacing w:after="200" w:line="360" w:lineRule="auto"/>
        <w:contextualSpacing/>
        <w:jc w:val="both"/>
        <w:rPr>
          <w:rFonts w:ascii="Cambria" w:eastAsia="Calibri" w:hAnsi="Cambria" w:cs="Times New Roman"/>
          <w:color w:val="1D1B11"/>
        </w:rPr>
      </w:pPr>
      <w:r w:rsidRPr="00415759">
        <w:rPr>
          <w:rFonts w:ascii="Cambria" w:eastAsia="Calibri" w:hAnsi="Cambria" w:cs="Times New Roman"/>
          <w:color w:val="1D1B11"/>
        </w:rPr>
        <w:t>Natrium-, Kalium- und Calciumchlorid können über den Ausguss entsorgt werden. Die Natronlauge wird über den Sammelbehälter für anorganische Schwermetallabfälle entsorgt.</w:t>
      </w:r>
    </w:p>
    <w:p w:rsidR="00415759" w:rsidRPr="00415759" w:rsidRDefault="00415759" w:rsidP="00415759">
      <w:pPr>
        <w:widowControl w:val="0"/>
        <w:spacing w:after="200" w:line="360" w:lineRule="auto"/>
        <w:contextualSpacing/>
        <w:jc w:val="both"/>
        <w:rPr>
          <w:rFonts w:ascii="Cambria" w:eastAsia="Calibri" w:hAnsi="Cambria" w:cs="Times New Roman"/>
          <w:color w:val="1D1B11"/>
        </w:rPr>
      </w:pPr>
    </w:p>
    <w:p w:rsidR="00415759" w:rsidRPr="00415759" w:rsidRDefault="00415759" w:rsidP="00415759">
      <w:pPr>
        <w:widowControl w:val="0"/>
        <w:spacing w:after="200" w:line="360" w:lineRule="auto"/>
        <w:contextualSpacing/>
        <w:jc w:val="both"/>
        <w:rPr>
          <w:rFonts w:ascii="Cambria" w:eastAsia="Calibri" w:hAnsi="Cambria" w:cs="Times New Roman"/>
          <w:b/>
          <w:color w:val="1D1B11"/>
        </w:rPr>
      </w:pPr>
      <w:r w:rsidRPr="00415759">
        <w:rPr>
          <w:rFonts w:ascii="Cambria" w:eastAsia="Calibri" w:hAnsi="Cambria" w:cs="Times New Roman"/>
          <w:b/>
          <w:color w:val="1D1B11"/>
        </w:rPr>
        <w:t>Literatur:</w:t>
      </w:r>
    </w:p>
    <w:p w:rsidR="00415759" w:rsidRPr="00415759" w:rsidRDefault="00415759" w:rsidP="00415759">
      <w:pPr>
        <w:spacing w:after="200" w:line="276" w:lineRule="auto"/>
        <w:ind w:firstLine="3"/>
        <w:rPr>
          <w:rFonts w:ascii="Cambria" w:eastAsia="Calibri" w:hAnsi="Cambria" w:cs="Times New Roman"/>
          <w:color w:val="1D1B11"/>
        </w:rPr>
      </w:pPr>
      <w:r w:rsidRPr="00415759">
        <w:rPr>
          <w:rFonts w:ascii="Cambria" w:eastAsia="Calibri" w:hAnsi="Cambria" w:cs="Times New Roman"/>
          <w:color w:val="1D1B11"/>
        </w:rPr>
        <w:t>[1] R. Herbst-Irmer, Praktikumsskript zum anorganisch-chemischen Fortgeschrittenenpraktikum für Lehramtskandidaten, Göttingen: Universität Göttingen, (2017).</w:t>
      </w:r>
    </w:p>
    <w:p w:rsidR="00415759" w:rsidRPr="00415759" w:rsidRDefault="00415759" w:rsidP="00415759">
      <w:pPr>
        <w:spacing w:after="200" w:line="276" w:lineRule="auto"/>
        <w:ind w:firstLine="3"/>
        <w:rPr>
          <w:rFonts w:ascii="Cambria" w:eastAsia="Calibri" w:hAnsi="Cambria" w:cs="Times New Roman"/>
          <w:color w:val="1D1B11"/>
        </w:rPr>
      </w:pPr>
      <w:r w:rsidRPr="00415759">
        <w:rPr>
          <w:rFonts w:ascii="Cambria" w:eastAsia="Calibri" w:hAnsi="Cambria" w:cs="Times New Roman"/>
          <w:color w:val="1D1B11"/>
        </w:rPr>
        <w:t>[2] G. Gauglitz, H. Löbert, http://www.chemgapedia.de/vsengine/vlu/vsc/de/ch/13/vlu/echemie/leitfaehigkeit/leitfaehi</w:t>
      </w:r>
      <w:r w:rsidRPr="00415759">
        <w:rPr>
          <w:rFonts w:ascii="Cambria" w:eastAsia="Calibri" w:hAnsi="Cambria" w:cs="Times New Roman"/>
          <w:color w:val="1D1B11"/>
        </w:rPr>
        <w:lastRenderedPageBreak/>
        <w:t>gkeit.vlu/Page/vsc/de/ch/13/pc/echemie/leitfaehigkeit/hydratat.vscml.html (zuletzt abgerufen am 7.8.2018 um 12:28 Uhr)</w:t>
      </w:r>
    </w:p>
    <w:p w:rsidR="00415759" w:rsidRPr="00415759" w:rsidRDefault="00415759" w:rsidP="00415759">
      <w:pPr>
        <w:spacing w:after="200" w:line="276" w:lineRule="auto"/>
        <w:ind w:firstLine="3"/>
        <w:rPr>
          <w:rFonts w:ascii="Cambria" w:eastAsia="Calibri" w:hAnsi="Cambria" w:cs="Times New Roman"/>
          <w:color w:val="1D1B11"/>
        </w:rPr>
      </w:pPr>
      <w:r w:rsidRPr="00415759">
        <w:rPr>
          <w:rFonts w:ascii="Cambria" w:eastAsia="Calibri" w:hAnsi="Cambria" w:cs="Times New Roman"/>
          <w:color w:val="1D1B11"/>
        </w:rPr>
        <w:t>[3] A. Maelicke, L. Kürz, http://www.chemgapedia.de/vsengine/vlu/vsc/de/ch/8/bc/vlu/neurotransmission/ionenkanaele.vlu/Page/vsc/de/ch/8/bc/neurotransmission/ionen_hydrat.vscml.html (zuletzt abgerufen am 7.8.210 um 20:51)</w:t>
      </w:r>
    </w:p>
    <w:p w:rsidR="009D0F8E" w:rsidRPr="00415759" w:rsidRDefault="001623AD" w:rsidP="00415759"/>
    <w:sectPr w:rsidR="009D0F8E" w:rsidRPr="00415759" w:rsidSect="00346B45">
      <w:headerReference w:type="default" r:id="rId23"/>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3AD" w:rsidRDefault="001623AD">
      <w:pPr>
        <w:spacing w:after="0" w:line="240" w:lineRule="auto"/>
      </w:pPr>
      <w:r>
        <w:separator/>
      </w:r>
    </w:p>
  </w:endnote>
  <w:endnote w:type="continuationSeparator" w:id="0">
    <w:p w:rsidR="001623AD" w:rsidRDefault="0016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3AD" w:rsidRDefault="001623AD">
      <w:pPr>
        <w:spacing w:after="0" w:line="240" w:lineRule="auto"/>
      </w:pPr>
      <w:r>
        <w:separator/>
      </w:r>
    </w:p>
  </w:footnote>
  <w:footnote w:type="continuationSeparator" w:id="0">
    <w:p w:rsidR="001623AD" w:rsidRDefault="00162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rsidR="00E16329" w:rsidRPr="00413732" w:rsidRDefault="00415759"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EB6453">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EB6453">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EB6453">
          <w:rPr>
            <w:noProof/>
            <w:sz w:val="20"/>
            <w:szCs w:val="20"/>
          </w:rPr>
          <w:t>3</w:t>
        </w:r>
        <w:r w:rsidRPr="00413732">
          <w:rPr>
            <w:sz w:val="20"/>
            <w:szCs w:val="20"/>
          </w:rPr>
          <w:fldChar w:fldCharType="end"/>
        </w:r>
        <w:r w:rsidRPr="00413732">
          <w:rPr>
            <w:rFonts w:cs="Arial"/>
            <w:sz w:val="20"/>
            <w:szCs w:val="20"/>
          </w:rPr>
          <w:t xml:space="preserve"> </w:t>
        </w:r>
      </w:p>
    </w:sdtContent>
  </w:sdt>
  <w:p w:rsidR="00E16329" w:rsidRPr="00413732" w:rsidRDefault="00415759"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101F7C18" wp14:editId="22E85786">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E7B6B"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rsidR="00E16329" w:rsidRPr="00846800" w:rsidRDefault="001623AD"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1623AD"/>
    <w:rsid w:val="0026011C"/>
    <w:rsid w:val="00282AC8"/>
    <w:rsid w:val="002E4FDF"/>
    <w:rsid w:val="00305CE6"/>
    <w:rsid w:val="003526C2"/>
    <w:rsid w:val="00413732"/>
    <w:rsid w:val="00415759"/>
    <w:rsid w:val="00493C20"/>
    <w:rsid w:val="004E374E"/>
    <w:rsid w:val="005A6580"/>
    <w:rsid w:val="005B7623"/>
    <w:rsid w:val="0061061B"/>
    <w:rsid w:val="006F523C"/>
    <w:rsid w:val="006F6BA1"/>
    <w:rsid w:val="007531F2"/>
    <w:rsid w:val="0082061E"/>
    <w:rsid w:val="00937DB8"/>
    <w:rsid w:val="00A60F28"/>
    <w:rsid w:val="00AD4CA6"/>
    <w:rsid w:val="00B05D8F"/>
    <w:rsid w:val="00B2567D"/>
    <w:rsid w:val="00B8135D"/>
    <w:rsid w:val="00BF1AAC"/>
    <w:rsid w:val="00C869F5"/>
    <w:rsid w:val="00DD3538"/>
    <w:rsid w:val="00EB6453"/>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112">
    <w:name w:val="Listentabelle 3 – Akzent 112"/>
    <w:basedOn w:val="NormaleTabelle"/>
    <w:uiPriority w:val="48"/>
    <w:rsid w:val="00415759"/>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microsoft.com/office/2007/relationships/hdphoto" Target="media/hdphoto3.wdp"/><Relationship Id="rId17" Type="http://schemas.microsoft.com/office/2007/relationships/hdphoto" Target="media/hdphoto5.wd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microsoft.com/office/2007/relationships/hdphoto" Target="media/hdphoto2.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microsoft.com/office/2007/relationships/hdphoto" Target="media/hdphoto7.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8F5617DE-B3C1-4D17-8847-1FA5D000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4</cp:revision>
  <cp:lastPrinted>2017-10-05T17:25:00Z</cp:lastPrinted>
  <dcterms:created xsi:type="dcterms:W3CDTF">2017-10-05T12:37:00Z</dcterms:created>
  <dcterms:modified xsi:type="dcterms:W3CDTF">2017-10-05T17:25:00Z</dcterms:modified>
</cp:coreProperties>
</file>